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spacing w:beforeLines="50"/>
        <w:jc w:val="center"/>
        <w:rPr>
          <w:rFonts w:hint="default" w:ascii="宋体" w:hAnsi="宋体" w:eastAsia="黑体" w:cs="宋体"/>
          <w:b/>
          <w:bCs/>
          <w:sz w:val="44"/>
          <w:szCs w:val="44"/>
          <w:lang w:val="en-US" w:eastAsia="zh-CN"/>
        </w:rPr>
      </w:pPr>
      <w:r>
        <w:rPr>
          <w:rFonts w:hint="eastAsia" w:ascii="宋体" w:hAnsi="宋体" w:eastAsia="黑体" w:cs="宋体"/>
          <w:b/>
          <w:bCs/>
          <w:sz w:val="44"/>
          <w:szCs w:val="44"/>
          <w:lang w:val="en-US" w:eastAsia="zh-CN"/>
        </w:rPr>
        <w:t>中山市教师发展中心招标公司</w:t>
      </w:r>
      <w:bookmarkStart w:id="0" w:name="_GoBack"/>
      <w:bookmarkEnd w:id="0"/>
      <w:r>
        <w:rPr>
          <w:rFonts w:hint="eastAsia" w:ascii="宋体" w:hAnsi="宋体" w:eastAsia="黑体" w:cs="宋体"/>
          <w:b/>
          <w:bCs/>
          <w:sz w:val="44"/>
          <w:szCs w:val="44"/>
          <w:lang w:val="en-US" w:eastAsia="zh-CN"/>
        </w:rPr>
        <w:t>遴选报名表</w:t>
      </w:r>
    </w:p>
    <w:p>
      <w:pPr>
        <w:spacing w:beforeLines="50"/>
        <w:rPr>
          <w:rFonts w:ascii="黑体" w:eastAsia="黑体"/>
          <w:sz w:val="32"/>
          <w:szCs w:val="32"/>
        </w:rPr>
      </w:pPr>
      <w:r>
        <w:rPr>
          <w:rFonts w:hint="eastAsia" w:ascii="黑体" w:eastAsia="黑体"/>
          <w:sz w:val="32"/>
          <w:szCs w:val="32"/>
        </w:rPr>
        <w:t>一、基本情况</w:t>
      </w:r>
    </w:p>
    <w:tbl>
      <w:tblPr>
        <w:tblStyle w:val="5"/>
        <w:tblW w:w="924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83"/>
        <w:gridCol w:w="2520"/>
        <w:gridCol w:w="1554"/>
        <w:gridCol w:w="1386"/>
        <w:gridCol w:w="21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r>
              <w:rPr>
                <w:rFonts w:hint="eastAsia" w:ascii="宋体" w:hAnsi="宋体"/>
                <w:sz w:val="24"/>
                <w:szCs w:val="24"/>
              </w:rPr>
              <w:t>申报单位</w:t>
            </w:r>
          </w:p>
        </w:tc>
        <w:tc>
          <w:tcPr>
            <w:tcW w:w="7560" w:type="dxa"/>
            <w:gridSpan w:val="4"/>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r>
              <w:rPr>
                <w:rFonts w:hint="eastAsia" w:ascii="宋体" w:hAnsi="宋体"/>
                <w:sz w:val="24"/>
                <w:szCs w:val="24"/>
              </w:rPr>
              <w:t>通讯地址</w:t>
            </w:r>
          </w:p>
        </w:tc>
        <w:tc>
          <w:tcPr>
            <w:tcW w:w="4074" w:type="dxa"/>
            <w:gridSpan w:val="2"/>
            <w:vAlign w:val="center"/>
          </w:tcPr>
          <w:p>
            <w:pPr>
              <w:rPr>
                <w:rFonts w:ascii="宋体" w:hAnsi="宋体"/>
                <w:szCs w:val="21"/>
              </w:rPr>
            </w:pPr>
          </w:p>
        </w:tc>
        <w:tc>
          <w:tcPr>
            <w:tcW w:w="1386" w:type="dxa"/>
            <w:vAlign w:val="center"/>
          </w:tcPr>
          <w:p>
            <w:pPr>
              <w:jc w:val="center"/>
              <w:rPr>
                <w:rFonts w:ascii="宋体" w:hAnsi="宋体"/>
                <w:sz w:val="24"/>
                <w:szCs w:val="24"/>
              </w:rPr>
            </w:pPr>
            <w:r>
              <w:rPr>
                <w:rFonts w:hint="eastAsia" w:ascii="宋体" w:hAnsi="宋体"/>
                <w:sz w:val="24"/>
                <w:szCs w:val="24"/>
              </w:rPr>
              <w:t>邮政编码</w:t>
            </w: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r>
              <w:rPr>
                <w:rFonts w:hint="eastAsia" w:ascii="宋体" w:hAnsi="宋体"/>
                <w:sz w:val="24"/>
                <w:szCs w:val="24"/>
              </w:rPr>
              <w:t>电子信箱</w:t>
            </w:r>
          </w:p>
        </w:tc>
        <w:tc>
          <w:tcPr>
            <w:tcW w:w="4074" w:type="dxa"/>
            <w:gridSpan w:val="2"/>
            <w:vAlign w:val="center"/>
          </w:tcPr>
          <w:p>
            <w:pPr>
              <w:rPr>
                <w:rFonts w:ascii="宋体" w:hAnsi="宋体"/>
                <w:sz w:val="24"/>
                <w:szCs w:val="24"/>
              </w:rPr>
            </w:pPr>
          </w:p>
        </w:tc>
        <w:tc>
          <w:tcPr>
            <w:tcW w:w="1386" w:type="dxa"/>
            <w:vAlign w:val="center"/>
          </w:tcPr>
          <w:p>
            <w:pPr>
              <w:jc w:val="center"/>
              <w:rPr>
                <w:rFonts w:ascii="宋体" w:hAnsi="宋体"/>
                <w:sz w:val="24"/>
                <w:szCs w:val="24"/>
              </w:rPr>
            </w:pPr>
            <w:r>
              <w:rPr>
                <w:rFonts w:hint="eastAsia" w:ascii="宋体" w:hAnsi="宋体"/>
                <w:sz w:val="24"/>
                <w:szCs w:val="24"/>
              </w:rPr>
              <w:t>传真电话</w:t>
            </w: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r>
              <w:rPr>
                <w:rFonts w:hint="eastAsia" w:ascii="宋体" w:hAnsi="宋体"/>
                <w:sz w:val="24"/>
                <w:szCs w:val="24"/>
              </w:rPr>
              <w:t>法定代表人</w:t>
            </w:r>
          </w:p>
        </w:tc>
        <w:tc>
          <w:tcPr>
            <w:tcW w:w="2520" w:type="dxa"/>
            <w:vAlign w:val="center"/>
          </w:tcPr>
          <w:p>
            <w:pPr>
              <w:jc w:val="center"/>
              <w:rPr>
                <w:rFonts w:ascii="宋体" w:hAnsi="宋体"/>
                <w:sz w:val="24"/>
                <w:szCs w:val="24"/>
              </w:rPr>
            </w:pPr>
          </w:p>
        </w:tc>
        <w:tc>
          <w:tcPr>
            <w:tcW w:w="1554" w:type="dxa"/>
            <w:vAlign w:val="center"/>
          </w:tcPr>
          <w:p>
            <w:pPr>
              <w:jc w:val="center"/>
              <w:rPr>
                <w:rFonts w:ascii="宋体" w:hAnsi="宋体"/>
                <w:sz w:val="24"/>
                <w:szCs w:val="24"/>
              </w:rPr>
            </w:pPr>
            <w:r>
              <w:rPr>
                <w:rFonts w:hint="eastAsia" w:ascii="宋体" w:hAnsi="宋体"/>
                <w:sz w:val="24"/>
                <w:szCs w:val="24"/>
              </w:rPr>
              <w:t>法人代码</w:t>
            </w:r>
          </w:p>
        </w:tc>
        <w:tc>
          <w:tcPr>
            <w:tcW w:w="3486" w:type="dxa"/>
            <w:gridSpan w:val="2"/>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p>
        </w:tc>
        <w:tc>
          <w:tcPr>
            <w:tcW w:w="4074" w:type="dxa"/>
            <w:gridSpan w:val="2"/>
            <w:vAlign w:val="center"/>
          </w:tcPr>
          <w:p>
            <w:pPr>
              <w:jc w:val="center"/>
            </w:pPr>
            <w:r>
              <w:rPr>
                <w:rFonts w:hint="eastAsia" w:ascii="宋体" w:hAnsi="宋体"/>
                <w:sz w:val="24"/>
                <w:szCs w:val="24"/>
              </w:rPr>
              <w:t>姓名</w:t>
            </w:r>
          </w:p>
        </w:tc>
        <w:tc>
          <w:tcPr>
            <w:tcW w:w="1386" w:type="dxa"/>
            <w:vAlign w:val="center"/>
          </w:tcPr>
          <w:p>
            <w:pPr>
              <w:jc w:val="center"/>
              <w:rPr>
                <w:rFonts w:ascii="宋体" w:hAnsi="宋体"/>
                <w:sz w:val="24"/>
                <w:szCs w:val="24"/>
              </w:rPr>
            </w:pPr>
            <w:r>
              <w:rPr>
                <w:rFonts w:hint="eastAsia" w:ascii="宋体" w:hAnsi="宋体"/>
                <w:sz w:val="24"/>
                <w:szCs w:val="24"/>
              </w:rPr>
              <w:t>办公电话</w:t>
            </w:r>
          </w:p>
        </w:tc>
        <w:tc>
          <w:tcPr>
            <w:tcW w:w="2100" w:type="dxa"/>
            <w:vAlign w:val="center"/>
          </w:tcPr>
          <w:p>
            <w:pPr>
              <w:jc w:val="center"/>
              <w:rPr>
                <w:rFonts w:ascii="宋体" w:hAnsi="宋体"/>
                <w:sz w:val="24"/>
                <w:szCs w:val="24"/>
              </w:rPr>
            </w:pPr>
            <w:r>
              <w:rPr>
                <w:rFonts w:hint="eastAsia" w:ascii="宋体" w:hAnsi="宋体"/>
                <w:sz w:val="24"/>
                <w:szCs w:val="24"/>
              </w:rPr>
              <w:t>手机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r>
              <w:rPr>
                <w:rFonts w:hint="eastAsia" w:ascii="宋体" w:hAnsi="宋体"/>
                <w:sz w:val="24"/>
                <w:szCs w:val="24"/>
              </w:rPr>
              <w:t>负责人</w:t>
            </w:r>
          </w:p>
        </w:tc>
        <w:tc>
          <w:tcPr>
            <w:tcW w:w="4074" w:type="dxa"/>
            <w:gridSpan w:val="2"/>
            <w:vAlign w:val="center"/>
          </w:tcPr>
          <w:p>
            <w:pPr>
              <w:jc w:val="center"/>
              <w:rPr>
                <w:rFonts w:ascii="宋体" w:hAnsi="宋体"/>
                <w:sz w:val="24"/>
                <w:szCs w:val="24"/>
              </w:rPr>
            </w:pPr>
          </w:p>
        </w:tc>
        <w:tc>
          <w:tcPr>
            <w:tcW w:w="1386" w:type="dxa"/>
            <w:vAlign w:val="center"/>
          </w:tcPr>
          <w:p>
            <w:pPr>
              <w:jc w:val="center"/>
              <w:rPr>
                <w:rFonts w:ascii="宋体" w:hAnsi="宋体"/>
                <w:sz w:val="24"/>
                <w:szCs w:val="24"/>
              </w:rPr>
            </w:pPr>
          </w:p>
        </w:tc>
        <w:tc>
          <w:tcPr>
            <w:tcW w:w="2100" w:type="dxa"/>
            <w:vAlign w:val="center"/>
          </w:tcPr>
          <w:p>
            <w:pPr>
              <w:jc w:val="center"/>
              <w:rPr>
                <w:rFonts w:ascii="宋体" w:hAnsi="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exact"/>
        </w:trPr>
        <w:tc>
          <w:tcPr>
            <w:tcW w:w="1683" w:type="dxa"/>
            <w:vAlign w:val="center"/>
          </w:tcPr>
          <w:p>
            <w:pPr>
              <w:jc w:val="distribute"/>
              <w:rPr>
                <w:rFonts w:ascii="宋体" w:hAnsi="宋体"/>
                <w:sz w:val="24"/>
                <w:szCs w:val="24"/>
              </w:rPr>
            </w:pPr>
            <w:r>
              <w:rPr>
                <w:rFonts w:hint="eastAsia" w:ascii="宋体" w:hAnsi="宋体"/>
                <w:sz w:val="24"/>
                <w:szCs w:val="24"/>
              </w:rPr>
              <w:t>联系人</w:t>
            </w:r>
          </w:p>
        </w:tc>
        <w:tc>
          <w:tcPr>
            <w:tcW w:w="4074" w:type="dxa"/>
            <w:gridSpan w:val="2"/>
            <w:vAlign w:val="center"/>
          </w:tcPr>
          <w:p>
            <w:pPr>
              <w:jc w:val="center"/>
              <w:rPr>
                <w:rFonts w:ascii="宋体" w:hAnsi="宋体"/>
                <w:sz w:val="24"/>
                <w:szCs w:val="24"/>
              </w:rPr>
            </w:pPr>
          </w:p>
        </w:tc>
        <w:tc>
          <w:tcPr>
            <w:tcW w:w="1386" w:type="dxa"/>
            <w:vAlign w:val="center"/>
          </w:tcPr>
          <w:p>
            <w:pPr>
              <w:jc w:val="center"/>
              <w:rPr>
                <w:rFonts w:ascii="宋体" w:hAnsi="宋体"/>
                <w:sz w:val="24"/>
                <w:szCs w:val="24"/>
              </w:rPr>
            </w:pPr>
          </w:p>
        </w:tc>
        <w:tc>
          <w:tcPr>
            <w:tcW w:w="2100" w:type="dxa"/>
            <w:vAlign w:val="center"/>
          </w:tcPr>
          <w:p>
            <w:pPr>
              <w:jc w:val="center"/>
              <w:rPr>
                <w:rFonts w:ascii="宋体" w:hAnsi="宋体"/>
                <w:sz w:val="24"/>
                <w:szCs w:val="24"/>
              </w:rPr>
            </w:pPr>
          </w:p>
        </w:tc>
      </w:tr>
    </w:tbl>
    <w:p>
      <w:pPr>
        <w:spacing w:beforeLines="50"/>
        <w:rPr>
          <w:rFonts w:ascii="黑体" w:eastAsia="黑体"/>
          <w:sz w:val="32"/>
          <w:szCs w:val="32"/>
        </w:rPr>
      </w:pPr>
      <w:r>
        <w:rPr>
          <w:rFonts w:hint="eastAsia" w:ascii="黑体" w:eastAsia="黑体"/>
          <w:sz w:val="32"/>
          <w:szCs w:val="32"/>
        </w:rPr>
        <w:t>二、申报单位简介</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1" w:hRule="atLeast"/>
        </w:trPr>
        <w:tc>
          <w:tcPr>
            <w:tcW w:w="9280" w:type="dxa"/>
            <w:tcBorders>
              <w:top w:val="single" w:color="auto" w:sz="6" w:space="0"/>
              <w:left w:val="single" w:color="auto" w:sz="6" w:space="0"/>
              <w:bottom w:val="single" w:color="auto" w:sz="6" w:space="0"/>
              <w:right w:val="single" w:color="auto" w:sz="6" w:space="0"/>
            </w:tcBorders>
          </w:tcPr>
          <w:p>
            <w:pPr>
              <w:rPr>
                <w:rFonts w:hint="eastAsia" w:ascii="仿宋_GB2312" w:hAnsi="Dotum" w:eastAsia="宋体"/>
                <w:sz w:val="24"/>
                <w:szCs w:val="24"/>
                <w:lang w:eastAsia="zh-CN"/>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p>
            <w:pPr>
              <w:rPr>
                <w:rFonts w:ascii="仿宋_GB2312" w:hAnsi="Dotum"/>
                <w:sz w:val="24"/>
                <w:szCs w:val="24"/>
              </w:rPr>
            </w:pPr>
          </w:p>
        </w:tc>
      </w:tr>
    </w:tbl>
    <w:p>
      <w:pPr>
        <w:spacing w:beforeLines="50"/>
        <w:rPr>
          <w:rFonts w:hint="default" w:ascii="黑体" w:eastAsia="黑体"/>
          <w:sz w:val="32"/>
          <w:szCs w:val="32"/>
          <w:lang w:val="en-US" w:eastAsia="zh-CN"/>
        </w:rPr>
      </w:pPr>
      <w:r>
        <w:rPr>
          <w:rFonts w:hint="eastAsia" w:ascii="黑体" w:eastAsia="黑体"/>
          <w:sz w:val="32"/>
          <w:szCs w:val="32"/>
        </w:rPr>
        <w:t>三、营业执照</w:t>
      </w:r>
      <w:r>
        <w:rPr>
          <w:rFonts w:hint="eastAsia" w:ascii="黑体" w:eastAsia="黑体"/>
          <w:sz w:val="32"/>
          <w:szCs w:val="32"/>
          <w:lang w:val="en-US" w:eastAsia="zh-CN"/>
        </w:rPr>
        <w:t>或统一社会信用代码证</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286" w:type="dxa"/>
          </w:tcPr>
          <w:p>
            <w:pPr>
              <w:autoSpaceDE w:val="0"/>
              <w:autoSpaceDN w:val="0"/>
              <w:spacing w:line="440" w:lineRule="exact"/>
              <w:ind w:firstLine="750" w:firstLineChars="250"/>
              <w:rPr>
                <w:rFonts w:ascii="仿宋_GB2312" w:hAnsi="仿宋_GB2312"/>
                <w:color w:val="2B2B2B"/>
                <w:sz w:val="30"/>
              </w:rPr>
            </w:pPr>
            <w:r>
              <w:rPr>
                <w:rFonts w:hint="eastAsia" w:ascii="仿宋_GB2312" w:hAnsi="仿宋_GB2312"/>
                <w:color w:val="2B2B2B"/>
                <w:sz w:val="30"/>
              </w:rPr>
              <w:t xml:space="preserve">    </w:t>
            </w: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tc>
      </w:tr>
    </w:tbl>
    <w:p>
      <w:pPr>
        <w:spacing w:beforeLines="50"/>
        <w:rPr>
          <w:rFonts w:hint="default" w:ascii="黑体" w:eastAsia="黑体"/>
          <w:sz w:val="32"/>
          <w:szCs w:val="32"/>
          <w:lang w:val="en-US" w:eastAsia="zh-CN"/>
        </w:rPr>
      </w:pPr>
      <w:r>
        <w:rPr>
          <w:rFonts w:hint="eastAsia" w:ascii="黑体" w:eastAsia="黑体"/>
          <w:sz w:val="32"/>
          <w:szCs w:val="32"/>
          <w:lang w:val="en-US" w:eastAsia="zh-CN"/>
        </w:rPr>
        <w:t>四</w:t>
      </w:r>
      <w:r>
        <w:rPr>
          <w:rFonts w:hint="eastAsia" w:ascii="黑体" w:eastAsia="黑体"/>
          <w:sz w:val="32"/>
          <w:szCs w:val="32"/>
        </w:rPr>
        <w:t>、</w:t>
      </w:r>
      <w:r>
        <w:rPr>
          <w:rFonts w:hint="eastAsia" w:ascii="黑体" w:eastAsia="黑体"/>
          <w:sz w:val="32"/>
          <w:szCs w:val="32"/>
          <w:lang w:val="en-US" w:eastAsia="zh-CN"/>
        </w:rPr>
        <w:t>近三年在经营活动中没有重大违法记录证明</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9286" w:type="dxa"/>
          </w:tcPr>
          <w:p>
            <w:pPr>
              <w:autoSpaceDE w:val="0"/>
              <w:autoSpaceDN w:val="0"/>
              <w:spacing w:line="440" w:lineRule="exact"/>
              <w:ind w:firstLine="750" w:firstLineChars="250"/>
              <w:rPr>
                <w:rFonts w:ascii="仿宋_GB2312" w:hAnsi="仿宋_GB2312"/>
                <w:color w:val="2B2B2B"/>
                <w:sz w:val="30"/>
              </w:rPr>
            </w:pPr>
            <w:r>
              <w:rPr>
                <w:rFonts w:hint="eastAsia" w:ascii="仿宋_GB2312" w:hAnsi="仿宋_GB2312"/>
                <w:color w:val="2B2B2B"/>
                <w:sz w:val="30"/>
              </w:rPr>
              <w:t xml:space="preserve">    </w:t>
            </w: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tc>
      </w:tr>
    </w:tbl>
    <w:p>
      <w:pPr>
        <w:spacing w:beforeLines="50"/>
        <w:rPr>
          <w:rFonts w:hint="default" w:ascii="黑体" w:eastAsia="黑体"/>
          <w:sz w:val="32"/>
          <w:szCs w:val="32"/>
          <w:lang w:val="en-US" w:eastAsia="zh-CN"/>
        </w:rPr>
      </w:pPr>
      <w:r>
        <w:rPr>
          <w:rFonts w:hint="eastAsia" w:ascii="黑体" w:eastAsia="黑体"/>
          <w:sz w:val="32"/>
          <w:szCs w:val="32"/>
          <w:lang w:val="en-US" w:eastAsia="zh-CN"/>
        </w:rPr>
        <w:t>五</w:t>
      </w:r>
      <w:r>
        <w:rPr>
          <w:rFonts w:hint="eastAsia" w:ascii="黑体" w:eastAsia="黑体"/>
          <w:sz w:val="32"/>
          <w:szCs w:val="32"/>
        </w:rPr>
        <w:t>、</w:t>
      </w:r>
      <w:r>
        <w:rPr>
          <w:rFonts w:hint="eastAsia" w:ascii="黑体" w:eastAsia="黑体"/>
          <w:sz w:val="32"/>
          <w:szCs w:val="32"/>
          <w:lang w:val="en-US" w:eastAsia="zh-CN"/>
        </w:rPr>
        <w:t>同类业绩证明</w:t>
      </w:r>
    </w:p>
    <w:tbl>
      <w:tblPr>
        <w:tblStyle w:val="5"/>
        <w:tblW w:w="0" w:type="auto"/>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trHeight w:val="1350" w:hRule="atLeast"/>
        </w:trPr>
        <w:tc>
          <w:tcPr>
            <w:tcW w:w="9286" w:type="dxa"/>
          </w:tcPr>
          <w:p>
            <w:pPr>
              <w:autoSpaceDE w:val="0"/>
              <w:autoSpaceDN w:val="0"/>
              <w:spacing w:line="440" w:lineRule="exact"/>
              <w:rPr>
                <w:rFonts w:hint="default" w:ascii="仿宋_GB2312" w:hAnsi="仿宋_GB2312" w:eastAsia="宋体"/>
                <w:color w:val="2B2B2B"/>
                <w:sz w:val="30"/>
                <w:lang w:val="en-US" w:eastAsia="zh-CN"/>
              </w:rPr>
            </w:pPr>
            <w:r>
              <w:rPr>
                <w:rFonts w:hint="eastAsia" w:ascii="仿宋_GB2312" w:hAnsi="仿宋_GB2312"/>
                <w:color w:val="2B2B2B"/>
                <w:sz w:val="30"/>
                <w:lang w:val="en-US" w:eastAsia="zh-CN"/>
              </w:rPr>
              <w:t>(例如进行什么活动、规模)</w:t>
            </w: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p>
            <w:pPr>
              <w:autoSpaceDE w:val="0"/>
              <w:autoSpaceDN w:val="0"/>
              <w:spacing w:line="440" w:lineRule="exact"/>
              <w:ind w:firstLine="750" w:firstLineChars="250"/>
              <w:rPr>
                <w:rFonts w:ascii="仿宋_GB2312" w:hAnsi="仿宋_GB2312"/>
                <w:color w:val="2B2B2B"/>
                <w:sz w:val="30"/>
              </w:rPr>
            </w:pPr>
          </w:p>
        </w:tc>
      </w:tr>
    </w:tbl>
    <w:p>
      <w:pPr>
        <w:spacing w:beforeLines="50"/>
        <w:rPr>
          <w:rFonts w:hint="default" w:ascii="黑体" w:eastAsia="黑体"/>
          <w:sz w:val="32"/>
          <w:szCs w:val="32"/>
          <w:lang w:val="en-US" w:eastAsia="zh-CN"/>
        </w:rPr>
      </w:pPr>
      <w:r>
        <w:rPr>
          <w:rFonts w:hint="eastAsia" w:ascii="黑体" w:eastAsia="黑体"/>
          <w:sz w:val="32"/>
          <w:szCs w:val="32"/>
          <w:lang w:val="en-US" w:eastAsia="zh-CN"/>
        </w:rPr>
        <w:t>六</w:t>
      </w:r>
      <w:r>
        <w:rPr>
          <w:rFonts w:hint="eastAsia" w:ascii="黑体" w:eastAsia="黑体"/>
          <w:sz w:val="32"/>
          <w:szCs w:val="32"/>
        </w:rPr>
        <w:t>、</w:t>
      </w:r>
      <w:r>
        <w:rPr>
          <w:rFonts w:hint="eastAsia" w:ascii="黑体" w:eastAsia="黑体"/>
          <w:sz w:val="32"/>
          <w:szCs w:val="32"/>
          <w:lang w:val="en-US" w:eastAsia="zh-CN"/>
        </w:rPr>
        <w:t>服务报价</w:t>
      </w:r>
    </w:p>
    <w:tbl>
      <w:tblPr>
        <w:tblStyle w:val="5"/>
        <w:tblW w:w="5463" w:type="pct"/>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4259"/>
        <w:gridCol w:w="2176"/>
        <w:gridCol w:w="2097"/>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45" w:type="pct"/>
            <w:vAlign w:val="center"/>
          </w:tcPr>
          <w:p>
            <w:pPr>
              <w:jc w:val="center"/>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序号</w:t>
            </w:r>
          </w:p>
        </w:tc>
        <w:tc>
          <w:tcPr>
            <w:tcW w:w="2224" w:type="pct"/>
            <w:vAlign w:val="center"/>
          </w:tcPr>
          <w:p>
            <w:pPr>
              <w:jc w:val="cente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服务内容</w:t>
            </w:r>
          </w:p>
        </w:tc>
        <w:tc>
          <w:tcPr>
            <w:tcW w:w="1136" w:type="pct"/>
            <w:vAlign w:val="center"/>
          </w:tcPr>
          <w:p>
            <w:pPr>
              <w:jc w:val="cente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总报价</w:t>
            </w:r>
          </w:p>
        </w:tc>
        <w:tc>
          <w:tcPr>
            <w:tcW w:w="1093" w:type="pct"/>
            <w:vAlign w:val="center"/>
          </w:tcPr>
          <w:p>
            <w:pPr>
              <w:jc w:val="center"/>
              <w:rPr>
                <w:rFonts w:hint="default"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5"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2224" w:type="pct"/>
            <w:vAlign w:val="center"/>
          </w:tcPr>
          <w:p>
            <w:pPr>
              <w:jc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yellow"/>
                <w:lang w:val="en-US" w:eastAsia="zh-CN"/>
              </w:rPr>
              <w:t>招标前期咨询</w:t>
            </w:r>
          </w:p>
        </w:tc>
        <w:tc>
          <w:tcPr>
            <w:tcW w:w="1136" w:type="pct"/>
            <w:vMerge w:val="restart"/>
            <w:vAlign w:val="center"/>
          </w:tcPr>
          <w:p>
            <w:pPr>
              <w:jc w:val="center"/>
              <w:rPr>
                <w:rFonts w:ascii="仿宋_GB2312" w:hAnsi="仿宋_GB2312" w:eastAsia="仿宋_GB2312" w:cs="仿宋_GB2312"/>
                <w:color w:val="auto"/>
                <w:sz w:val="24"/>
                <w:szCs w:val="24"/>
                <w:highlight w:val="yellow"/>
              </w:rPr>
            </w:pPr>
            <w:r>
              <w:rPr>
                <w:rFonts w:ascii="仿宋_GB2312" w:hAnsi="仿宋_GB2312" w:eastAsia="仿宋_GB2312" w:cs="仿宋_GB2312"/>
                <w:color w:val="auto"/>
                <w:sz w:val="24"/>
                <w:szCs w:val="24"/>
                <w:highlight w:val="none"/>
              </w:rPr>
              <w:t>以</w:t>
            </w:r>
            <w:r>
              <w:rPr>
                <w:rFonts w:hint="eastAsia" w:ascii="仿宋_GB2312" w:hAnsi="仿宋_GB2312" w:eastAsia="仿宋_GB2312" w:cs="仿宋_GB2312"/>
                <w:color w:val="auto"/>
                <w:sz w:val="24"/>
                <w:szCs w:val="24"/>
                <w:highlight w:val="none"/>
                <w:lang w:val="en-US" w:eastAsia="zh-CN"/>
              </w:rPr>
              <w:t>中标服务费按计价格【2002】1980号文收费标准下浮</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%后，计费基数暂定为107万元，即人民币（大写</w:t>
            </w:r>
            <w:r>
              <w:rPr>
                <w:rFonts w:hint="eastAsia" w:ascii="仿宋_GB2312" w:hAnsi="仿宋_GB2312" w:eastAsia="仿宋_GB2312" w:cs="仿宋_GB2312"/>
                <w:color w:val="auto"/>
                <w:sz w:val="24"/>
                <w:szCs w:val="24"/>
                <w:highlight w:val="none"/>
                <w:u w:val="none"/>
                <w:lang w:val="en-US" w:eastAsia="zh-CN"/>
              </w:rPr>
              <w:t>）</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整（¥</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szCs w:val="24"/>
                <w:highlight w:val="none"/>
                <w:lang w:val="en-US" w:eastAsia="zh-CN"/>
              </w:rPr>
              <w:t>元）的投标总报价。</w:t>
            </w:r>
          </w:p>
        </w:tc>
        <w:tc>
          <w:tcPr>
            <w:tcW w:w="1093" w:type="pct"/>
            <w:vMerge w:val="restart"/>
            <w:vAlign w:val="center"/>
          </w:tcPr>
          <w:p>
            <w:pPr>
              <w:jc w:val="center"/>
              <w:rPr>
                <w:rFonts w:ascii="仿宋_GB2312" w:hAnsi="仿宋_GB2312" w:eastAsia="仿宋_GB2312" w:cs="仿宋_GB2312"/>
                <w:color w:val="auto"/>
                <w:sz w:val="24"/>
                <w:szCs w:val="24"/>
                <w:highlight w:val="yellow"/>
              </w:rPr>
            </w:pPr>
            <w:r>
              <w:rPr>
                <w:rFonts w:hint="eastAsia" w:ascii="仿宋_GB2312" w:hAnsi="仿宋_GB2312" w:eastAsia="仿宋_GB2312" w:cs="仿宋_GB2312"/>
                <w:color w:val="auto"/>
                <w:sz w:val="24"/>
                <w:szCs w:val="24"/>
                <w:highlight w:val="none"/>
                <w:lang w:val="en-US" w:eastAsia="zh-CN"/>
              </w:rPr>
              <w:t>服务报价费用涵盖提供政府采购项目采购代理全过程服务中发生的一切费用（包括但不限于采购文件、评审文件等所有资料的打印、复印、装订、咨询费、交通费、人工费、专家劳务费、餐费、差旅费等）</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5"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2224" w:type="pct"/>
            <w:vAlign w:val="center"/>
          </w:tcPr>
          <w:p>
            <w:pPr>
              <w:jc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yellow"/>
                <w:lang w:val="en-US" w:eastAsia="zh-CN"/>
              </w:rPr>
              <w:t>编制招标文件、发布招标公告</w:t>
            </w:r>
          </w:p>
        </w:tc>
        <w:tc>
          <w:tcPr>
            <w:tcW w:w="1136" w:type="pct"/>
            <w:vMerge w:val="continue"/>
            <w:vAlign w:val="center"/>
          </w:tcPr>
          <w:p>
            <w:pPr>
              <w:jc w:val="center"/>
              <w:rPr>
                <w:rFonts w:ascii="仿宋_GB2312" w:hAnsi="仿宋_GB2312" w:eastAsia="仿宋_GB2312" w:cs="仿宋_GB2312"/>
                <w:color w:val="auto"/>
                <w:sz w:val="24"/>
                <w:szCs w:val="24"/>
                <w:highlight w:val="yellow"/>
              </w:rPr>
            </w:pPr>
          </w:p>
        </w:tc>
        <w:tc>
          <w:tcPr>
            <w:tcW w:w="1093" w:type="pct"/>
            <w:vMerge w:val="continue"/>
            <w:vAlign w:val="center"/>
          </w:tcPr>
          <w:p>
            <w:pPr>
              <w:jc w:val="center"/>
              <w:rPr>
                <w:rFonts w:ascii="仿宋_GB2312" w:hAnsi="仿宋_GB2312" w:eastAsia="仿宋_GB2312" w:cs="仿宋_GB2312"/>
                <w:color w:val="auto"/>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5"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2224" w:type="pct"/>
            <w:vAlign w:val="center"/>
          </w:tcPr>
          <w:p>
            <w:pPr>
              <w:jc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yellow"/>
                <w:lang w:val="en-US" w:eastAsia="zh-CN"/>
              </w:rPr>
              <w:t>组织开标、评标工作</w:t>
            </w:r>
          </w:p>
        </w:tc>
        <w:tc>
          <w:tcPr>
            <w:tcW w:w="1136" w:type="pct"/>
            <w:vMerge w:val="continue"/>
            <w:vAlign w:val="center"/>
          </w:tcPr>
          <w:p>
            <w:pPr>
              <w:jc w:val="center"/>
              <w:rPr>
                <w:rFonts w:ascii="仿宋_GB2312" w:hAnsi="仿宋_GB2312" w:eastAsia="仿宋_GB2312" w:cs="仿宋_GB2312"/>
                <w:color w:val="auto"/>
                <w:sz w:val="24"/>
                <w:szCs w:val="24"/>
                <w:highlight w:val="yellow"/>
              </w:rPr>
            </w:pPr>
          </w:p>
        </w:tc>
        <w:tc>
          <w:tcPr>
            <w:tcW w:w="1093" w:type="pct"/>
            <w:vMerge w:val="continue"/>
            <w:vAlign w:val="center"/>
          </w:tcPr>
          <w:p>
            <w:pPr>
              <w:jc w:val="center"/>
              <w:rPr>
                <w:rFonts w:ascii="仿宋_GB2312" w:hAnsi="仿宋_GB2312" w:eastAsia="仿宋_GB2312" w:cs="仿宋_GB2312"/>
                <w:color w:val="auto"/>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5" w:type="pct"/>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2224" w:type="pct"/>
            <w:vAlign w:val="center"/>
          </w:tcPr>
          <w:p>
            <w:pPr>
              <w:jc w:val="center"/>
              <w:rPr>
                <w:rFonts w:hint="default" w:ascii="仿宋_GB2312" w:hAnsi="仿宋_GB2312" w:eastAsia="仿宋_GB2312" w:cs="仿宋_GB2312"/>
                <w:color w:val="auto"/>
                <w:sz w:val="24"/>
                <w:szCs w:val="24"/>
                <w:highlight w:val="yellow"/>
                <w:lang w:val="en-US" w:eastAsia="zh-CN"/>
              </w:rPr>
            </w:pPr>
            <w:r>
              <w:rPr>
                <w:rFonts w:hint="eastAsia" w:ascii="仿宋_GB2312" w:hAnsi="仿宋_GB2312" w:eastAsia="仿宋_GB2312" w:cs="仿宋_GB2312"/>
                <w:color w:val="auto"/>
                <w:sz w:val="24"/>
                <w:szCs w:val="24"/>
                <w:highlight w:val="yellow"/>
                <w:lang w:val="en-US" w:eastAsia="zh-CN"/>
              </w:rPr>
              <w:t>发布结果公告及中标通知书</w:t>
            </w:r>
          </w:p>
        </w:tc>
        <w:tc>
          <w:tcPr>
            <w:tcW w:w="1136" w:type="pct"/>
            <w:vMerge w:val="continue"/>
            <w:vAlign w:val="center"/>
          </w:tcPr>
          <w:p>
            <w:pPr>
              <w:jc w:val="center"/>
              <w:rPr>
                <w:rFonts w:ascii="仿宋_GB2312" w:hAnsi="仿宋_GB2312" w:eastAsia="仿宋_GB2312" w:cs="仿宋_GB2312"/>
                <w:color w:val="auto"/>
                <w:sz w:val="24"/>
                <w:szCs w:val="24"/>
                <w:highlight w:val="yellow"/>
              </w:rPr>
            </w:pPr>
          </w:p>
        </w:tc>
        <w:tc>
          <w:tcPr>
            <w:tcW w:w="1093" w:type="pct"/>
            <w:vMerge w:val="continue"/>
            <w:vAlign w:val="center"/>
          </w:tcPr>
          <w:p>
            <w:pPr>
              <w:jc w:val="center"/>
              <w:rPr>
                <w:rFonts w:ascii="仿宋_GB2312" w:hAnsi="仿宋_GB2312" w:eastAsia="仿宋_GB2312" w:cs="仿宋_GB2312"/>
                <w:color w:val="auto"/>
                <w:sz w:val="24"/>
                <w:szCs w:val="24"/>
                <w:highlight w:val="yellow"/>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45" w:type="pc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2224" w:type="pct"/>
            <w:vAlign w:val="center"/>
          </w:tcPr>
          <w:p>
            <w:pPr>
              <w:jc w:val="center"/>
              <w:rPr>
                <w:rFonts w:hint="default" w:ascii="仿宋_GB2312" w:hAnsi="仿宋_GB2312" w:eastAsia="仿宋_GB2312" w:cs="仿宋_GB2312"/>
                <w:color w:val="auto"/>
                <w:sz w:val="24"/>
                <w:szCs w:val="24"/>
                <w:highlight w:val="yellow"/>
                <w:lang w:val="en-US" w:eastAsia="zh-CN"/>
              </w:rPr>
            </w:pPr>
            <w:r>
              <w:rPr>
                <w:rFonts w:hint="default" w:ascii="仿宋_GB2312" w:hAnsi="仿宋_GB2312" w:eastAsia="仿宋_GB2312" w:cs="仿宋_GB2312"/>
                <w:color w:val="auto"/>
                <w:sz w:val="24"/>
                <w:szCs w:val="24"/>
                <w:highlight w:val="yellow"/>
                <w:lang w:val="en-US" w:eastAsia="zh-CN"/>
              </w:rPr>
              <w:t>收集、整理、装订、招标过程中各种存档材料</w:t>
            </w:r>
          </w:p>
        </w:tc>
        <w:tc>
          <w:tcPr>
            <w:tcW w:w="1136" w:type="pct"/>
            <w:vMerge w:val="continue"/>
            <w:vAlign w:val="center"/>
          </w:tcPr>
          <w:p>
            <w:pPr>
              <w:jc w:val="center"/>
              <w:rPr>
                <w:rFonts w:hint="default" w:ascii="仿宋_GB2312" w:hAnsi="仿宋_GB2312" w:eastAsia="仿宋_GB2312" w:cs="仿宋_GB2312"/>
                <w:color w:val="auto"/>
                <w:sz w:val="24"/>
                <w:szCs w:val="24"/>
                <w:highlight w:val="yellow"/>
                <w:lang w:val="en-US" w:eastAsia="zh-CN"/>
              </w:rPr>
            </w:pPr>
          </w:p>
        </w:tc>
        <w:tc>
          <w:tcPr>
            <w:tcW w:w="1093" w:type="pct"/>
            <w:vMerge w:val="continue"/>
            <w:vAlign w:val="center"/>
          </w:tcPr>
          <w:p>
            <w:pPr>
              <w:jc w:val="center"/>
              <w:rPr>
                <w:rFonts w:hint="default" w:ascii="仿宋_GB2312" w:hAnsi="仿宋_GB2312" w:eastAsia="仿宋_GB2312" w:cs="仿宋_GB2312"/>
                <w:color w:val="auto"/>
                <w:sz w:val="24"/>
                <w:szCs w:val="24"/>
                <w:highlight w:val="yellow"/>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45" w:type="pct"/>
            <w:vAlign w:val="center"/>
          </w:tcPr>
          <w:p>
            <w:pPr>
              <w:jc w:val="center"/>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2224" w:type="pct"/>
            <w:vAlign w:val="center"/>
          </w:tcPr>
          <w:p>
            <w:pPr>
              <w:jc w:val="center"/>
              <w:rPr>
                <w:rFonts w:hint="default" w:ascii="仿宋_GB2312" w:hAnsi="仿宋_GB2312" w:eastAsia="仿宋_GB2312" w:cs="仿宋_GB2312"/>
                <w:color w:val="auto"/>
                <w:sz w:val="24"/>
                <w:szCs w:val="24"/>
                <w:highlight w:val="yellow"/>
                <w:lang w:val="en-US" w:eastAsia="zh-CN"/>
              </w:rPr>
            </w:pPr>
            <w:r>
              <w:rPr>
                <w:rFonts w:hint="default" w:ascii="仿宋_GB2312" w:hAnsi="仿宋_GB2312" w:eastAsia="仿宋_GB2312" w:cs="仿宋_GB2312"/>
                <w:color w:val="auto"/>
                <w:sz w:val="24"/>
                <w:szCs w:val="24"/>
                <w:highlight w:val="yellow"/>
                <w:lang w:val="en-US" w:eastAsia="zh-CN"/>
              </w:rPr>
              <w:t>协助中标人与采购人签订采购合同</w:t>
            </w:r>
          </w:p>
        </w:tc>
        <w:tc>
          <w:tcPr>
            <w:tcW w:w="1136" w:type="pct"/>
            <w:vMerge w:val="continue"/>
            <w:vAlign w:val="center"/>
          </w:tcPr>
          <w:p>
            <w:pPr>
              <w:jc w:val="center"/>
              <w:rPr>
                <w:rFonts w:hint="default" w:ascii="仿宋_GB2312" w:hAnsi="仿宋_GB2312" w:eastAsia="仿宋_GB2312" w:cs="仿宋_GB2312"/>
                <w:color w:val="auto"/>
                <w:sz w:val="24"/>
                <w:szCs w:val="24"/>
                <w:highlight w:val="yellow"/>
                <w:lang w:val="en-US" w:eastAsia="zh-CN"/>
              </w:rPr>
            </w:pPr>
          </w:p>
        </w:tc>
        <w:tc>
          <w:tcPr>
            <w:tcW w:w="1093" w:type="pct"/>
            <w:vMerge w:val="continue"/>
            <w:vAlign w:val="center"/>
          </w:tcPr>
          <w:p>
            <w:pPr>
              <w:jc w:val="center"/>
              <w:rPr>
                <w:rFonts w:hint="default" w:ascii="仿宋_GB2312" w:hAnsi="仿宋_GB2312" w:eastAsia="仿宋_GB2312" w:cs="仿宋_GB2312"/>
                <w:color w:val="auto"/>
                <w:sz w:val="24"/>
                <w:szCs w:val="24"/>
                <w:highlight w:val="yellow"/>
                <w:lang w:val="en-US" w:eastAsia="zh-CN"/>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000" w:type="pct"/>
            <w:gridSpan w:val="4"/>
            <w:vAlign w:val="center"/>
          </w:tcPr>
          <w:p>
            <w:pPr>
              <w:keepNext w:val="0"/>
              <w:keepLines w:val="0"/>
              <w:widowControl/>
              <w:suppressLineNumbers w:val="0"/>
              <w:jc w:val="center"/>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附：《招标代理服务收费管理暂行办法》【2002】1980号文收费标准</w:t>
            </w:r>
          </w:p>
          <w:tbl>
            <w:tblPr>
              <w:tblStyle w:val="5"/>
              <w:tblW w:w="8838"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85"/>
              <w:gridCol w:w="2084"/>
              <w:gridCol w:w="2084"/>
              <w:gridCol w:w="20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1" w:hRule="atLeast"/>
                <w:tblCellSpacing w:w="0" w:type="dxa"/>
                <w:jc w:val="center"/>
              </w:trPr>
              <w:tc>
                <w:tcPr>
                  <w:tcW w:w="2585" w:type="dxa"/>
                  <w:shd w:val="clear" w:color="auto" w:fill="auto"/>
                  <w:vAlign w:val="center"/>
                </w:tcPr>
                <w:p>
                  <w:pPr>
                    <w:keepNext w:val="0"/>
                    <w:keepLines w:val="0"/>
                    <w:widowControl/>
                    <w:suppressLineNumbers w:val="0"/>
                    <w:jc w:val="center"/>
                    <w:rPr>
                      <w:color w:val="auto"/>
                      <w:sz w:val="21"/>
                      <w:szCs w:val="24"/>
                    </w:rPr>
                  </w:pPr>
                  <w:r>
                    <w:rPr>
                      <w:rFonts w:ascii="宋体" w:hAnsi="宋体" w:eastAsia="宋体" w:cs="宋体"/>
                      <w:b/>
                      <w:bCs/>
                      <w:color w:val="auto"/>
                      <w:kern w:val="0"/>
                      <w:sz w:val="24"/>
                      <w:szCs w:val="24"/>
                      <w:lang w:val="en-US" w:eastAsia="zh-CN" w:bidi="ar"/>
                    </w:rPr>
                    <w:t>中标金额（万元）</w:t>
                  </w:r>
                </w:p>
              </w:tc>
              <w:tc>
                <w:tcPr>
                  <w:tcW w:w="2084" w:type="dxa"/>
                  <w:shd w:val="clear" w:color="auto" w:fill="auto"/>
                  <w:vAlign w:val="center"/>
                </w:tcPr>
                <w:p>
                  <w:pPr>
                    <w:keepNext w:val="0"/>
                    <w:keepLines w:val="0"/>
                    <w:widowControl/>
                    <w:suppressLineNumbers w:val="0"/>
                    <w:jc w:val="center"/>
                    <w:rPr>
                      <w:color w:val="auto"/>
                      <w:sz w:val="21"/>
                      <w:szCs w:val="24"/>
                    </w:rPr>
                  </w:pPr>
                  <w:r>
                    <w:rPr>
                      <w:rFonts w:ascii="宋体" w:hAnsi="宋体" w:eastAsia="宋体" w:cs="宋体"/>
                      <w:b/>
                      <w:bCs/>
                      <w:color w:val="auto"/>
                      <w:kern w:val="0"/>
                      <w:sz w:val="24"/>
                      <w:szCs w:val="24"/>
                      <w:lang w:val="en-US" w:eastAsia="zh-CN" w:bidi="ar"/>
                    </w:rPr>
                    <w:t>货物招标</w:t>
                  </w:r>
                </w:p>
              </w:tc>
              <w:tc>
                <w:tcPr>
                  <w:tcW w:w="2084" w:type="dxa"/>
                  <w:shd w:val="clear" w:color="auto" w:fill="auto"/>
                  <w:vAlign w:val="center"/>
                </w:tcPr>
                <w:p>
                  <w:pPr>
                    <w:keepNext w:val="0"/>
                    <w:keepLines w:val="0"/>
                    <w:widowControl/>
                    <w:suppressLineNumbers w:val="0"/>
                    <w:jc w:val="center"/>
                    <w:rPr>
                      <w:color w:val="auto"/>
                      <w:sz w:val="21"/>
                      <w:szCs w:val="24"/>
                    </w:rPr>
                  </w:pPr>
                  <w:r>
                    <w:rPr>
                      <w:rFonts w:ascii="宋体" w:hAnsi="宋体" w:eastAsia="宋体" w:cs="宋体"/>
                      <w:b/>
                      <w:bCs/>
                      <w:color w:val="auto"/>
                      <w:kern w:val="0"/>
                      <w:sz w:val="24"/>
                      <w:szCs w:val="24"/>
                      <w:lang w:val="en-US" w:eastAsia="zh-CN" w:bidi="ar"/>
                    </w:rPr>
                    <w:t>服务招标</w:t>
                  </w:r>
                </w:p>
              </w:tc>
              <w:tc>
                <w:tcPr>
                  <w:tcW w:w="2085" w:type="dxa"/>
                  <w:shd w:val="clear" w:color="auto" w:fill="auto"/>
                  <w:vAlign w:val="center"/>
                </w:tcPr>
                <w:p>
                  <w:pPr>
                    <w:keepNext w:val="0"/>
                    <w:keepLines w:val="0"/>
                    <w:widowControl/>
                    <w:suppressLineNumbers w:val="0"/>
                    <w:jc w:val="center"/>
                    <w:rPr>
                      <w:color w:val="auto"/>
                      <w:sz w:val="21"/>
                      <w:szCs w:val="24"/>
                    </w:rPr>
                  </w:pPr>
                  <w:r>
                    <w:rPr>
                      <w:rFonts w:ascii="宋体" w:hAnsi="宋体" w:eastAsia="宋体" w:cs="宋体"/>
                      <w:b/>
                      <w:bCs/>
                      <w:color w:val="auto"/>
                      <w:kern w:val="0"/>
                      <w:sz w:val="24"/>
                      <w:szCs w:val="24"/>
                      <w:lang w:val="en-US" w:eastAsia="zh-CN" w:bidi="ar"/>
                    </w:rPr>
                    <w:t>工程招标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100以下</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1.5%</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1.5%</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100-500</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1.1%</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0.8%</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500-1000</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0.8%</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0.45%</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1000-5000</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0.5%</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0.25%</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5000-10000</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0.25%</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0.1%</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12"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10000-100000</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0.05%</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0.05%</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7" w:hRule="atLeast"/>
                <w:tblCellSpacing w:w="0" w:type="dxa"/>
                <w:jc w:val="center"/>
              </w:trPr>
              <w:tc>
                <w:tcPr>
                  <w:tcW w:w="25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1000000以上</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0.01%</w:t>
                  </w:r>
                </w:p>
              </w:tc>
              <w:tc>
                <w:tcPr>
                  <w:tcW w:w="2084"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0.01%</w:t>
                  </w:r>
                </w:p>
              </w:tc>
              <w:tc>
                <w:tcPr>
                  <w:tcW w:w="2085" w:type="dxa"/>
                  <w:shd w:val="clear" w:color="auto" w:fill="auto"/>
                  <w:vAlign w:val="top"/>
                </w:tcPr>
                <w:p>
                  <w:pPr>
                    <w:keepNext w:val="0"/>
                    <w:keepLines w:val="0"/>
                    <w:widowControl/>
                    <w:suppressLineNumbers w:val="0"/>
                    <w:jc w:val="center"/>
                    <w:rPr>
                      <w:rFonts w:hint="default" w:ascii="Calibri" w:hAnsi="Calibri" w:eastAsia="宋体" w:cs="Times New Roman"/>
                      <w:b w:val="0"/>
                      <w:bCs w:val="0"/>
                      <w:color w:val="auto"/>
                      <w:kern w:val="0"/>
                      <w:sz w:val="28"/>
                      <w:szCs w:val="28"/>
                      <w:lang w:val="en-US" w:eastAsia="zh-CN" w:bidi="ar-SA"/>
                    </w:rPr>
                  </w:pPr>
                  <w:r>
                    <w:rPr>
                      <w:rFonts w:hint="default" w:ascii="Calibri" w:hAnsi="Calibri" w:eastAsia="宋体" w:cs="Times New Roman"/>
                      <w:b w:val="0"/>
                      <w:bCs w:val="0"/>
                      <w:color w:val="auto"/>
                      <w:kern w:val="0"/>
                      <w:sz w:val="28"/>
                      <w:szCs w:val="28"/>
                      <w:lang w:val="en-US" w:eastAsia="zh-CN" w:bidi="ar-SA"/>
                    </w:rPr>
                    <w:t>0.01%</w:t>
                  </w:r>
                </w:p>
              </w:tc>
            </w:tr>
          </w:tbl>
          <w:p>
            <w:pPr>
              <w:pStyle w:val="2"/>
              <w:rPr>
                <w:rFonts w:hint="eastAsia"/>
                <w:lang w:val="en-US" w:eastAsia="zh-CN"/>
              </w:rPr>
            </w:pPr>
          </w:p>
        </w:tc>
      </w:tr>
    </w:tbl>
    <w:p>
      <w:pPr>
        <w:rPr>
          <w:rFonts w:hint="eastAsia" w:ascii="黑体" w:eastAsia="黑体"/>
          <w:sz w:val="32"/>
          <w:szCs w:val="32"/>
          <w:lang w:val="en-US" w:eastAsia="zh-CN"/>
        </w:rPr>
      </w:pPr>
      <w:r>
        <w:rPr>
          <w:rFonts w:hint="eastAsia" w:ascii="黑体" w:eastAsia="黑体"/>
          <w:sz w:val="32"/>
          <w:szCs w:val="32"/>
          <w:lang w:val="en-US" w:eastAsia="zh-CN"/>
        </w:rPr>
        <w:br w:type="page"/>
      </w:r>
    </w:p>
    <w:p>
      <w:pPr>
        <w:spacing w:beforeLines="50"/>
        <w:rPr>
          <w:rFonts w:ascii="黑体" w:eastAsia="黑体"/>
          <w:sz w:val="32"/>
          <w:szCs w:val="32"/>
        </w:rPr>
      </w:pPr>
      <w:r>
        <w:rPr>
          <w:rFonts w:hint="eastAsia" w:ascii="黑体" w:eastAsia="黑体"/>
          <w:sz w:val="32"/>
          <w:szCs w:val="32"/>
          <w:lang w:val="en-US" w:eastAsia="zh-CN"/>
        </w:rPr>
        <w:t>七</w:t>
      </w:r>
      <w:r>
        <w:rPr>
          <w:rFonts w:hint="eastAsia" w:ascii="黑体" w:eastAsia="黑体"/>
          <w:sz w:val="32"/>
          <w:szCs w:val="32"/>
        </w:rPr>
        <w:t>、申报单位承诺</w:t>
      </w:r>
    </w:p>
    <w:tbl>
      <w:tblPr>
        <w:tblStyle w:val="5"/>
        <w:tblW w:w="0" w:type="auto"/>
        <w:tblInd w:w="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928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trHeight w:val="3738" w:hRule="atLeast"/>
        </w:trPr>
        <w:tc>
          <w:tcPr>
            <w:tcW w:w="9286" w:type="dxa"/>
          </w:tcPr>
          <w:p>
            <w:pPr>
              <w:rPr>
                <w:sz w:val="30"/>
                <w:szCs w:val="30"/>
              </w:rPr>
            </w:pPr>
          </w:p>
          <w:p>
            <w:pPr>
              <w:ind w:firstLine="600"/>
              <w:rPr>
                <w:rFonts w:ascii="仿宋_GB2312" w:hAnsi="仿宋_GB2312" w:eastAsia="仿宋_GB2312" w:cs="仿宋_GB2312"/>
                <w:sz w:val="30"/>
                <w:szCs w:val="30"/>
              </w:rPr>
            </w:pPr>
            <w:r>
              <w:rPr>
                <w:rFonts w:hint="eastAsia" w:ascii="仿宋_GB2312" w:hAnsi="仿宋_GB2312" w:eastAsia="仿宋_GB2312" w:cs="仿宋_GB2312"/>
                <w:sz w:val="30"/>
                <w:szCs w:val="30"/>
              </w:rPr>
              <w:t>我们确认项目申报内容的真实性，并愿意承担相应的责任。</w:t>
            </w:r>
          </w:p>
          <w:p>
            <w:pPr>
              <w:rPr>
                <w:rFonts w:ascii="仿宋_GB2312" w:hAnsi="仿宋_GB2312" w:eastAsia="仿宋_GB2312" w:cs="仿宋_GB2312"/>
                <w:sz w:val="30"/>
                <w:szCs w:val="30"/>
              </w:rPr>
            </w:pPr>
          </w:p>
          <w:p>
            <w:pPr>
              <w:ind w:firstLine="150" w:firstLineChars="5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申报单位公章</w:t>
            </w:r>
          </w:p>
          <w:p>
            <w:pPr>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年   月   日</w:t>
            </w:r>
          </w:p>
          <w:p>
            <w:pPr>
              <w:rPr>
                <w:sz w:val="30"/>
                <w:szCs w:val="30"/>
              </w:rPr>
            </w:pPr>
          </w:p>
        </w:tc>
      </w:tr>
    </w:tbl>
    <w:p>
      <w:pPr>
        <w:adjustRightInd w:val="0"/>
        <w:snapToGrid w:val="0"/>
        <w:spacing w:line="360" w:lineRule="auto"/>
        <w:ind w:firstLine="640" w:firstLineChars="200"/>
        <w:rPr>
          <w:rFonts w:ascii="仿宋_GB2312" w:hAnsi="仿宋_GB2312" w:eastAsia="仿宋_GB2312" w:cs="仿宋_GB2312"/>
          <w:sz w:val="32"/>
          <w:szCs w:val="32"/>
        </w:rPr>
      </w:pPr>
    </w:p>
    <w:p/>
    <w:sectPr>
      <w:pgSz w:w="11906" w:h="16838"/>
      <w:pgMar w:top="1440" w:right="1558"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Dotum">
    <w:altName w:val="Malgun Gothic"/>
    <w:panose1 w:val="020B0600000101010101"/>
    <w:charset w:val="81"/>
    <w:family w:val="modern"/>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2NWNhMDU2NGJmMGY0NzBkMGQzYWIxZmZlMjY1NmMifQ=="/>
  </w:docVars>
  <w:rsids>
    <w:rsidRoot w:val="00B60079"/>
    <w:rsid w:val="003511B1"/>
    <w:rsid w:val="004A1E9D"/>
    <w:rsid w:val="005339B1"/>
    <w:rsid w:val="0087426A"/>
    <w:rsid w:val="00B60079"/>
    <w:rsid w:val="1DAA4ED3"/>
    <w:rsid w:val="21360E35"/>
    <w:rsid w:val="3FCA0ADB"/>
    <w:rsid w:val="46771019"/>
    <w:rsid w:val="634560D1"/>
    <w:rsid w:val="6AFB546D"/>
    <w:rsid w:val="6F371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pPr>
    <w:rPr>
      <w:rFonts w:ascii="Calibri" w:hAnsi="Calibri"/>
      <w:kern w:val="0"/>
      <w:sz w:val="20"/>
      <w:szCs w:val="20"/>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509</Words>
  <Characters>646</Characters>
  <Lines>3</Lines>
  <Paragraphs>1</Paragraphs>
  <TotalTime>1</TotalTime>
  <ScaleCrop>false</ScaleCrop>
  <LinksUpToDate>false</LinksUpToDate>
  <CharactersWithSpaces>724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2019-02-14T07:27:00Z</dcterms:created>
  <dc:creator>王宁</dc:creator>
  <cp:lastModifiedBy>Administrator</cp:lastModifiedBy>
  <dcterms:modified xsi:type="dcterms:W3CDTF">2023-05-19T02:48:58Z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26F90F7537F649EDA7AA253E02909953_13</vt:lpwstr>
  </property>
</Properties>
</file>