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0311D">
      <w:pPr>
        <w:pStyle w:val="4"/>
        <w:keepNext w:val="0"/>
        <w:keepLines w:val="0"/>
        <w:pageBreakBefore w:val="0"/>
        <w:widowControl w:val="0"/>
        <w:numPr>
          <w:ilvl w:val="0"/>
          <w:numId w:val="0"/>
        </w:numPr>
        <w:tabs>
          <w:tab w:val="left" w:pos="426"/>
        </w:tabs>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中山市教师发展中心文化建设（第三期）</w:t>
      </w:r>
    </w:p>
    <w:p w14:paraId="1FEDDBB7">
      <w:pPr>
        <w:pStyle w:val="4"/>
        <w:keepNext w:val="0"/>
        <w:keepLines w:val="0"/>
        <w:pageBreakBefore w:val="0"/>
        <w:widowControl w:val="0"/>
        <w:numPr>
          <w:ilvl w:val="0"/>
          <w:numId w:val="0"/>
        </w:numPr>
        <w:tabs>
          <w:tab w:val="left" w:pos="426"/>
        </w:tabs>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rPr>
      </w:pPr>
      <w:r>
        <w:rPr>
          <w:rFonts w:hint="eastAsia" w:ascii="方正小标宋简体" w:hAnsi="方正小标宋简体" w:eastAsia="方正小标宋简体" w:cs="方正小标宋简体"/>
          <w:b w:val="0"/>
          <w:bCs/>
          <w:sz w:val="44"/>
          <w:szCs w:val="44"/>
          <w:lang w:val="en-US" w:eastAsia="zh-CN"/>
        </w:rPr>
        <w:t>项目用户需求书</w:t>
      </w:r>
    </w:p>
    <w:p w14:paraId="69879BD9">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14:paraId="35B1BF32">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项目概况</w:t>
      </w:r>
    </w:p>
    <w:p w14:paraId="4137822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（一）项目位置：中山市教师发展中心大楼</w:t>
      </w:r>
    </w:p>
    <w:p w14:paraId="49BCFE5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（二）设计要求：规划布局合理，包含发展中心楼梯角区域、通道区域、部分培训室区域等；</w:t>
      </w:r>
      <w:bookmarkStart w:id="0" w:name="_GoBack"/>
      <w:bookmarkEnd w:id="0"/>
      <w:r>
        <w:rPr>
          <w:rFonts w:hint="eastAsia" w:ascii="仿宋_GB2312" w:hAnsi="仿宋_GB2312" w:eastAsia="仿宋_GB2312" w:cs="仿宋_GB2312"/>
          <w:sz w:val="32"/>
          <w:szCs w:val="32"/>
          <w:lang w:val="en-US" w:eastAsia="zh-CN"/>
        </w:rPr>
        <w:t>整体设计风格与教师发展中心文化风格融合。</w:t>
      </w:r>
    </w:p>
    <w:p w14:paraId="4D848C13">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二、项目说明</w:t>
      </w:r>
    </w:p>
    <w:p w14:paraId="5E5DEAEF">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（一）项目名称：中山市教师发展中心文化建设（第三期）项目</w:t>
      </w:r>
    </w:p>
    <w:p w14:paraId="6359703D">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（二）项目勘察</w:t>
      </w:r>
    </w:p>
    <w:p w14:paraId="2563E605">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（三）合同履行期限：</w:t>
      </w:r>
      <w:r>
        <w:rPr>
          <w:rFonts w:hint="eastAsia" w:ascii="仿宋_GB2312" w:hAnsi="仿宋_GB2312" w:eastAsia="仿宋_GB2312" w:cs="仿宋_GB2312"/>
          <w:sz w:val="32"/>
          <w:szCs w:val="32"/>
        </w:rPr>
        <w:t>合同签订后，接甲方通知制作后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天内完成所有的项目工作。</w:t>
      </w:r>
    </w:p>
    <w:p w14:paraId="378CE8A4">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（四）质保期：免费质量保修期为12个月，从项目验收合格之日起开始计算。</w:t>
      </w:r>
    </w:p>
    <w:p w14:paraId="57BDB7E6">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（五）项目预算</w:t>
      </w:r>
      <w:r>
        <w:rPr>
          <w:rFonts w:hint="eastAsia" w:ascii="仿宋_GB2312" w:hAnsi="仿宋_GB2312" w:eastAsia="仿宋_GB2312" w:cs="仿宋_GB2312"/>
          <w:color w:val="auto"/>
          <w:sz w:val="32"/>
          <w:szCs w:val="32"/>
          <w:lang w:val="en-US" w:eastAsia="zh-CN"/>
        </w:rPr>
        <w:t>：120000元，大写：壹拾贰万元整（报价超预算无效）</w:t>
      </w:r>
    </w:p>
    <w:p w14:paraId="59D26E69">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三、项目</w:t>
      </w:r>
      <w:r>
        <w:rPr>
          <w:rFonts w:hint="eastAsia" w:ascii="仿宋_GB2312" w:hAnsi="仿宋_GB2312" w:eastAsia="仿宋_GB2312" w:cs="仿宋_GB2312"/>
          <w:b/>
          <w:bCs/>
          <w:sz w:val="32"/>
          <w:szCs w:val="32"/>
          <w:lang w:val="en-US" w:eastAsia="zh-CN"/>
        </w:rPr>
        <w:t>实施</w:t>
      </w:r>
      <w:r>
        <w:rPr>
          <w:rFonts w:hint="eastAsia" w:ascii="仿宋_GB2312" w:hAnsi="仿宋_GB2312" w:eastAsia="仿宋_GB2312" w:cs="仿宋_GB2312"/>
          <w:b/>
          <w:bCs/>
          <w:sz w:val="32"/>
          <w:szCs w:val="32"/>
          <w:lang w:eastAsia="zh-CN"/>
        </w:rPr>
        <w:t>目的</w:t>
      </w:r>
    </w:p>
    <w:p w14:paraId="7D79E5D4">
      <w:pPr>
        <w:pStyle w:val="4"/>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进一步提高教师发展中心文化品位，构建健康和谐文化氛围，丰富文化生活，充实教师培训场域内涵，体现教师发展中心工作和健康休闲充分融合，增强教师发展中心的文化底蕴，基于以上目的，经中心研究后，特意进行本项目建设。</w:t>
      </w:r>
    </w:p>
    <w:p w14:paraId="3E54335B">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四、项目内容清单</w:t>
      </w:r>
    </w:p>
    <w:tbl>
      <w:tblPr>
        <w:tblStyle w:val="5"/>
        <w:tblW w:w="10245" w:type="dxa"/>
        <w:tblInd w:w="-8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840"/>
        <w:gridCol w:w="1470"/>
        <w:gridCol w:w="3585"/>
        <w:gridCol w:w="1614"/>
        <w:gridCol w:w="2046"/>
      </w:tblGrid>
      <w:tr w14:paraId="1341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F3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017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楼层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BD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具体位置</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8E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工艺需求</w:t>
            </w:r>
          </w:p>
        </w:tc>
        <w:tc>
          <w:tcPr>
            <w:tcW w:w="161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9C676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设计范围尺寸（cm）</w:t>
            </w: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80D5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现场图例</w:t>
            </w:r>
          </w:p>
        </w:tc>
      </w:tr>
      <w:tr w14:paraId="46BD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07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25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1F</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66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后门通道白墙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18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80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740*350</w:t>
            </w:r>
          </w:p>
        </w:tc>
        <w:tc>
          <w:tcPr>
            <w:tcW w:w="2046" w:type="dxa"/>
            <w:tcBorders>
              <w:top w:val="single" w:color="auto" w:sz="4" w:space="0"/>
              <w:left w:val="single" w:color="000000" w:sz="4" w:space="0"/>
              <w:bottom w:val="single" w:color="000000" w:sz="4" w:space="0"/>
              <w:right w:val="single" w:color="000000" w:sz="4" w:space="0"/>
            </w:tcBorders>
            <w:shd w:val="clear" w:color="auto" w:fill="auto"/>
            <w:vAlign w:val="center"/>
          </w:tcPr>
          <w:p w14:paraId="101B63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20320</wp:posOffset>
                  </wp:positionV>
                  <wp:extent cx="1067435" cy="698500"/>
                  <wp:effectExtent l="0" t="0" r="18415" b="6350"/>
                  <wp:wrapNone/>
                  <wp:docPr id="74" name="图片_1"/>
                  <wp:cNvGraphicFramePr/>
                  <a:graphic xmlns:a="http://schemas.openxmlformats.org/drawingml/2006/main">
                    <a:graphicData uri="http://schemas.openxmlformats.org/drawingml/2006/picture">
                      <pic:pic xmlns:pic="http://schemas.openxmlformats.org/drawingml/2006/picture">
                        <pic:nvPicPr>
                          <pic:cNvPr id="74" name="图片_1"/>
                          <pic:cNvPicPr/>
                        </pic:nvPicPr>
                        <pic:blipFill>
                          <a:blip r:embed="rId4"/>
                          <a:stretch>
                            <a:fillRect/>
                          </a:stretch>
                        </pic:blipFill>
                        <pic:spPr>
                          <a:xfrm>
                            <a:off x="0" y="0"/>
                            <a:ext cx="1067435" cy="698500"/>
                          </a:xfrm>
                          <a:prstGeom prst="rect">
                            <a:avLst/>
                          </a:prstGeom>
                          <a:noFill/>
                          <a:ln>
                            <a:noFill/>
                          </a:ln>
                        </pic:spPr>
                      </pic:pic>
                    </a:graphicData>
                  </a:graphic>
                </wp:anchor>
              </w:drawing>
            </w:r>
          </w:p>
        </w:tc>
      </w:tr>
      <w:tr w14:paraId="757F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D2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920">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E2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消防栓</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9E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室内高清背胶喷画</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C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65*95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8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1189990" cy="594360"/>
                  <wp:effectExtent l="0" t="0" r="10160" b="15240"/>
                  <wp:wrapNone/>
                  <wp:docPr id="75" name="图片_2"/>
                  <wp:cNvGraphicFramePr/>
                  <a:graphic xmlns:a="http://schemas.openxmlformats.org/drawingml/2006/main">
                    <a:graphicData uri="http://schemas.openxmlformats.org/drawingml/2006/picture">
                      <pic:pic xmlns:pic="http://schemas.openxmlformats.org/drawingml/2006/picture">
                        <pic:nvPicPr>
                          <pic:cNvPr id="75" name="图片_2"/>
                          <pic:cNvPicPr/>
                        </pic:nvPicPr>
                        <pic:blipFill>
                          <a:blip r:embed="rId5"/>
                          <a:stretch>
                            <a:fillRect/>
                          </a:stretch>
                        </pic:blipFill>
                        <pic:spPr>
                          <a:xfrm>
                            <a:off x="0" y="0"/>
                            <a:ext cx="1189990" cy="594360"/>
                          </a:xfrm>
                          <a:prstGeom prst="rect">
                            <a:avLst/>
                          </a:prstGeom>
                          <a:noFill/>
                          <a:ln>
                            <a:noFill/>
                          </a:ln>
                        </pic:spPr>
                      </pic:pic>
                    </a:graphicData>
                  </a:graphic>
                </wp:anchor>
              </w:drawing>
            </w:r>
          </w:p>
        </w:tc>
      </w:tr>
      <w:tr w14:paraId="01C4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24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1038">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nil"/>
              <w:right w:val="single" w:color="000000" w:sz="4" w:space="0"/>
            </w:tcBorders>
            <w:shd w:val="clear" w:color="auto" w:fill="FFFFFF"/>
            <w:noWrap/>
            <w:vAlign w:val="center"/>
          </w:tcPr>
          <w:p w14:paraId="5E3675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楼梯白墙</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B64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安迪板烤漆雕刻立体装饰造型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7AC2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450*250，450*350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1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1152525" cy="631190"/>
                  <wp:effectExtent l="0" t="0" r="9525" b="16510"/>
                  <wp:wrapNone/>
                  <wp:docPr id="87" name="图片_4"/>
                  <wp:cNvGraphicFramePr/>
                  <a:graphic xmlns:a="http://schemas.openxmlformats.org/drawingml/2006/main">
                    <a:graphicData uri="http://schemas.openxmlformats.org/drawingml/2006/picture">
                      <pic:pic xmlns:pic="http://schemas.openxmlformats.org/drawingml/2006/picture">
                        <pic:nvPicPr>
                          <pic:cNvPr id="87" name="图片_4"/>
                          <pic:cNvPicPr/>
                        </pic:nvPicPr>
                        <pic:blipFill>
                          <a:blip r:embed="rId6"/>
                          <a:stretch>
                            <a:fillRect/>
                          </a:stretch>
                        </pic:blipFill>
                        <pic:spPr>
                          <a:xfrm>
                            <a:off x="0" y="0"/>
                            <a:ext cx="1152525" cy="631190"/>
                          </a:xfrm>
                          <a:prstGeom prst="rect">
                            <a:avLst/>
                          </a:prstGeom>
                          <a:noFill/>
                          <a:ln>
                            <a:noFill/>
                          </a:ln>
                        </pic:spPr>
                      </pic:pic>
                    </a:graphicData>
                  </a:graphic>
                </wp:anchor>
              </w:drawing>
            </w:r>
          </w:p>
        </w:tc>
      </w:tr>
      <w:tr w14:paraId="190D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B2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64AD">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74D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楼梯角</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45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饰面板打底+安迪板装饰造型+定制书柜+木质台阶</w:t>
            </w:r>
          </w:p>
        </w:tc>
        <w:tc>
          <w:tcPr>
            <w:tcW w:w="1614" w:type="dxa"/>
            <w:tcBorders>
              <w:top w:val="nil"/>
              <w:left w:val="nil"/>
              <w:bottom w:val="nil"/>
              <w:right w:val="nil"/>
            </w:tcBorders>
            <w:shd w:val="clear" w:color="auto" w:fill="FFFFFF"/>
            <w:noWrap/>
            <w:vAlign w:val="center"/>
          </w:tcPr>
          <w:p w14:paraId="6731BF1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520*270，256*133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34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-17145</wp:posOffset>
                  </wp:positionV>
                  <wp:extent cx="1162050" cy="653415"/>
                  <wp:effectExtent l="0" t="0" r="0" b="13335"/>
                  <wp:wrapNone/>
                  <wp:docPr id="79" name="图片_5"/>
                  <wp:cNvGraphicFramePr/>
                  <a:graphic xmlns:a="http://schemas.openxmlformats.org/drawingml/2006/main">
                    <a:graphicData uri="http://schemas.openxmlformats.org/drawingml/2006/picture">
                      <pic:pic xmlns:pic="http://schemas.openxmlformats.org/drawingml/2006/picture">
                        <pic:nvPicPr>
                          <pic:cNvPr id="79" name="图片_5"/>
                          <pic:cNvPicPr/>
                        </pic:nvPicPr>
                        <pic:blipFill>
                          <a:blip r:embed="rId7"/>
                          <a:stretch>
                            <a:fillRect/>
                          </a:stretch>
                        </pic:blipFill>
                        <pic:spPr>
                          <a:xfrm>
                            <a:off x="0" y="0"/>
                            <a:ext cx="1162050" cy="653415"/>
                          </a:xfrm>
                          <a:prstGeom prst="rect">
                            <a:avLst/>
                          </a:prstGeom>
                          <a:noFill/>
                          <a:ln>
                            <a:noFill/>
                          </a:ln>
                        </pic:spPr>
                      </pic:pic>
                    </a:graphicData>
                  </a:graphic>
                </wp:anchor>
              </w:drawing>
            </w:r>
          </w:p>
        </w:tc>
      </w:tr>
      <w:tr w14:paraId="1627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C88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E095">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7D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荣誉展示区</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2A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安迪板烤漆雕刻立体装饰造型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0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180*230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6A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635</wp:posOffset>
                  </wp:positionV>
                  <wp:extent cx="1170940" cy="561975"/>
                  <wp:effectExtent l="0" t="0" r="10160" b="9525"/>
                  <wp:wrapNone/>
                  <wp:docPr id="86" name="图片_6"/>
                  <wp:cNvGraphicFramePr/>
                  <a:graphic xmlns:a="http://schemas.openxmlformats.org/drawingml/2006/main">
                    <a:graphicData uri="http://schemas.openxmlformats.org/drawingml/2006/picture">
                      <pic:pic xmlns:pic="http://schemas.openxmlformats.org/drawingml/2006/picture">
                        <pic:nvPicPr>
                          <pic:cNvPr id="86" name="图片_6"/>
                          <pic:cNvPicPr/>
                        </pic:nvPicPr>
                        <pic:blipFill>
                          <a:blip r:embed="rId8"/>
                          <a:stretch>
                            <a:fillRect/>
                          </a:stretch>
                        </pic:blipFill>
                        <pic:spPr>
                          <a:xfrm>
                            <a:off x="0" y="0"/>
                            <a:ext cx="1170940" cy="561975"/>
                          </a:xfrm>
                          <a:prstGeom prst="rect">
                            <a:avLst/>
                          </a:prstGeom>
                          <a:noFill/>
                          <a:ln>
                            <a:noFill/>
                          </a:ln>
                        </pic:spPr>
                      </pic:pic>
                    </a:graphicData>
                  </a:graphic>
                </wp:anchor>
              </w:drawing>
            </w:r>
          </w:p>
        </w:tc>
      </w:tr>
      <w:tr w14:paraId="0F29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5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528B">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42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会议室</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AC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立体字+LOGO</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A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69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1181100" cy="570865"/>
                  <wp:effectExtent l="0" t="0" r="0" b="635"/>
                  <wp:wrapNone/>
                  <wp:docPr id="67" name="图片_7"/>
                  <wp:cNvGraphicFramePr/>
                  <a:graphic xmlns:a="http://schemas.openxmlformats.org/drawingml/2006/main">
                    <a:graphicData uri="http://schemas.openxmlformats.org/drawingml/2006/picture">
                      <pic:pic xmlns:pic="http://schemas.openxmlformats.org/drawingml/2006/picture">
                        <pic:nvPicPr>
                          <pic:cNvPr id="67" name="图片_7"/>
                          <pic:cNvPicPr/>
                        </pic:nvPicPr>
                        <pic:blipFill>
                          <a:blip r:embed="rId9"/>
                          <a:stretch>
                            <a:fillRect/>
                          </a:stretch>
                        </pic:blipFill>
                        <pic:spPr>
                          <a:xfrm>
                            <a:off x="0" y="0"/>
                            <a:ext cx="1181100" cy="570865"/>
                          </a:xfrm>
                          <a:prstGeom prst="rect">
                            <a:avLst/>
                          </a:prstGeom>
                          <a:noFill/>
                          <a:ln>
                            <a:noFill/>
                          </a:ln>
                        </pic:spPr>
                      </pic:pic>
                    </a:graphicData>
                  </a:graphic>
                </wp:anchor>
              </w:drawing>
            </w:r>
          </w:p>
        </w:tc>
      </w:tr>
      <w:tr w14:paraId="33B4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D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542D">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4C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会议室地面做台阶</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44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地面做三级钢结构地台+木纹地板铺设</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6C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880*320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CA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-66675</wp:posOffset>
                  </wp:positionV>
                  <wp:extent cx="1199515" cy="646430"/>
                  <wp:effectExtent l="0" t="0" r="635" b="1270"/>
                  <wp:wrapNone/>
                  <wp:docPr id="77" name="图片_8"/>
                  <wp:cNvGraphicFramePr/>
                  <a:graphic xmlns:a="http://schemas.openxmlformats.org/drawingml/2006/main">
                    <a:graphicData uri="http://schemas.openxmlformats.org/drawingml/2006/picture">
                      <pic:pic xmlns:pic="http://schemas.openxmlformats.org/drawingml/2006/picture">
                        <pic:nvPicPr>
                          <pic:cNvPr id="77" name="图片_8"/>
                          <pic:cNvPicPr/>
                        </pic:nvPicPr>
                        <pic:blipFill>
                          <a:blip r:embed="rId10"/>
                          <a:stretch>
                            <a:fillRect/>
                          </a:stretch>
                        </pic:blipFill>
                        <pic:spPr>
                          <a:xfrm>
                            <a:off x="0" y="0"/>
                            <a:ext cx="1199515" cy="646430"/>
                          </a:xfrm>
                          <a:prstGeom prst="rect">
                            <a:avLst/>
                          </a:prstGeom>
                          <a:noFill/>
                          <a:ln>
                            <a:noFill/>
                          </a:ln>
                        </pic:spPr>
                      </pic:pic>
                    </a:graphicData>
                  </a:graphic>
                </wp:anchor>
              </w:drawing>
            </w:r>
          </w:p>
        </w:tc>
      </w:tr>
      <w:tr w14:paraId="350B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A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40" w:type="dxa"/>
            <w:vMerge w:val="restart"/>
            <w:tcBorders>
              <w:top w:val="single" w:color="000000" w:sz="4" w:space="0"/>
              <w:left w:val="single" w:color="000000" w:sz="4" w:space="0"/>
              <w:bottom w:val="nil"/>
              <w:right w:val="single" w:color="000000" w:sz="4" w:space="0"/>
            </w:tcBorders>
            <w:shd w:val="clear" w:color="auto" w:fill="auto"/>
            <w:noWrap/>
            <w:vAlign w:val="center"/>
          </w:tcPr>
          <w:p w14:paraId="59DA50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2F</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DD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206通道白墙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B5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BC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85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1057275" cy="688340"/>
                  <wp:effectExtent l="0" t="0" r="9525" b="16510"/>
                  <wp:wrapNone/>
                  <wp:docPr id="68" name="图片_9"/>
                  <wp:cNvGraphicFramePr/>
                  <a:graphic xmlns:a="http://schemas.openxmlformats.org/drawingml/2006/main">
                    <a:graphicData uri="http://schemas.openxmlformats.org/drawingml/2006/picture">
                      <pic:pic xmlns:pic="http://schemas.openxmlformats.org/drawingml/2006/picture">
                        <pic:nvPicPr>
                          <pic:cNvPr id="68" name="图片_9"/>
                          <pic:cNvPicPr/>
                        </pic:nvPicPr>
                        <pic:blipFill>
                          <a:blip r:embed="rId11"/>
                          <a:stretch>
                            <a:fillRect/>
                          </a:stretch>
                        </pic:blipFill>
                        <pic:spPr>
                          <a:xfrm>
                            <a:off x="0" y="0"/>
                            <a:ext cx="1057275" cy="688340"/>
                          </a:xfrm>
                          <a:prstGeom prst="rect">
                            <a:avLst/>
                          </a:prstGeom>
                          <a:noFill/>
                          <a:ln>
                            <a:noFill/>
                          </a:ln>
                        </pic:spPr>
                      </pic:pic>
                    </a:graphicData>
                  </a:graphic>
                </wp:anchor>
              </w:drawing>
            </w:r>
          </w:p>
        </w:tc>
      </w:tr>
      <w:tr w14:paraId="1D7E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AE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4F30B5">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9FDE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消防栓</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58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室内高清背胶喷画</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81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65*95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27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0</wp:posOffset>
                  </wp:positionV>
                  <wp:extent cx="1028700" cy="702945"/>
                  <wp:effectExtent l="0" t="0" r="0" b="1905"/>
                  <wp:wrapNone/>
                  <wp:docPr id="88" name="图片_10"/>
                  <wp:cNvGraphicFramePr/>
                  <a:graphic xmlns:a="http://schemas.openxmlformats.org/drawingml/2006/main">
                    <a:graphicData uri="http://schemas.openxmlformats.org/drawingml/2006/picture">
                      <pic:pic xmlns:pic="http://schemas.openxmlformats.org/drawingml/2006/picture">
                        <pic:nvPicPr>
                          <pic:cNvPr id="88" name="图片_10"/>
                          <pic:cNvPicPr/>
                        </pic:nvPicPr>
                        <pic:blipFill>
                          <a:blip r:embed="rId12"/>
                          <a:stretch>
                            <a:fillRect/>
                          </a:stretch>
                        </pic:blipFill>
                        <pic:spPr>
                          <a:xfrm>
                            <a:off x="0" y="0"/>
                            <a:ext cx="1028700" cy="702945"/>
                          </a:xfrm>
                          <a:prstGeom prst="rect">
                            <a:avLst/>
                          </a:prstGeom>
                          <a:noFill/>
                          <a:ln>
                            <a:noFill/>
                          </a:ln>
                        </pic:spPr>
                      </pic:pic>
                    </a:graphicData>
                  </a:graphic>
                </wp:anchor>
              </w:drawing>
            </w:r>
          </w:p>
        </w:tc>
      </w:tr>
      <w:tr w14:paraId="1584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D4F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0DBDF7D">
            <w:pPr>
              <w:jc w:val="center"/>
              <w:rPr>
                <w:rFonts w:hint="eastAsia" w:ascii="微软雅黑" w:hAnsi="微软雅黑" w:eastAsia="微软雅黑" w:cs="微软雅黑"/>
                <w:i w:val="0"/>
                <w:iCs w:val="0"/>
                <w:color w:val="000000"/>
                <w:sz w:val="20"/>
                <w:szCs w:val="20"/>
                <w:u w:val="none"/>
              </w:rPr>
            </w:pPr>
          </w:p>
        </w:tc>
        <w:tc>
          <w:tcPr>
            <w:tcW w:w="1470" w:type="dxa"/>
            <w:tcBorders>
              <w:top w:val="single" w:color="auto" w:sz="4" w:space="0"/>
              <w:left w:val="single" w:color="000000" w:sz="4" w:space="0"/>
              <w:bottom w:val="nil"/>
              <w:right w:val="single" w:color="000000" w:sz="4" w:space="0"/>
            </w:tcBorders>
            <w:shd w:val="clear" w:color="auto" w:fill="auto"/>
            <w:noWrap/>
            <w:vAlign w:val="center"/>
          </w:tcPr>
          <w:p w14:paraId="05D76A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楼梯白墙</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78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安迪板烤漆雕刻立体装饰造型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2D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450*250，450*350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CD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-10795</wp:posOffset>
                  </wp:positionV>
                  <wp:extent cx="1210310" cy="564515"/>
                  <wp:effectExtent l="0" t="0" r="8890" b="6985"/>
                  <wp:wrapNone/>
                  <wp:docPr id="70" name="图片_12"/>
                  <wp:cNvGraphicFramePr/>
                  <a:graphic xmlns:a="http://schemas.openxmlformats.org/drawingml/2006/main">
                    <a:graphicData uri="http://schemas.openxmlformats.org/drawingml/2006/picture">
                      <pic:pic xmlns:pic="http://schemas.openxmlformats.org/drawingml/2006/picture">
                        <pic:nvPicPr>
                          <pic:cNvPr id="70" name="图片_12"/>
                          <pic:cNvPicPr/>
                        </pic:nvPicPr>
                        <pic:blipFill>
                          <a:blip r:embed="rId6"/>
                          <a:stretch>
                            <a:fillRect/>
                          </a:stretch>
                        </pic:blipFill>
                        <pic:spPr>
                          <a:xfrm>
                            <a:off x="0" y="0"/>
                            <a:ext cx="1210310" cy="564515"/>
                          </a:xfrm>
                          <a:prstGeom prst="rect">
                            <a:avLst/>
                          </a:prstGeom>
                          <a:noFill/>
                          <a:ln>
                            <a:noFill/>
                          </a:ln>
                        </pic:spPr>
                      </pic:pic>
                    </a:graphicData>
                  </a:graphic>
                </wp:anchor>
              </w:drawing>
            </w:r>
          </w:p>
        </w:tc>
      </w:tr>
      <w:tr w14:paraId="5326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F8E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11</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201BE3">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5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211通道白墙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2C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nil"/>
              <w:left w:val="nil"/>
              <w:bottom w:val="nil"/>
              <w:right w:val="nil"/>
            </w:tcBorders>
            <w:shd w:val="clear" w:color="auto" w:fill="auto"/>
            <w:noWrap/>
            <w:vAlign w:val="center"/>
          </w:tcPr>
          <w:p w14:paraId="4744A7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55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-10795</wp:posOffset>
                  </wp:positionV>
                  <wp:extent cx="1114425" cy="659765"/>
                  <wp:effectExtent l="0" t="0" r="9525" b="6985"/>
                  <wp:wrapNone/>
                  <wp:docPr id="80" name="图片_13"/>
                  <wp:cNvGraphicFramePr/>
                  <a:graphic xmlns:a="http://schemas.openxmlformats.org/drawingml/2006/main">
                    <a:graphicData uri="http://schemas.openxmlformats.org/drawingml/2006/picture">
                      <pic:pic xmlns:pic="http://schemas.openxmlformats.org/drawingml/2006/picture">
                        <pic:nvPicPr>
                          <pic:cNvPr id="80" name="图片_13"/>
                          <pic:cNvPicPr/>
                        </pic:nvPicPr>
                        <pic:blipFill>
                          <a:blip r:embed="rId13"/>
                          <a:stretch>
                            <a:fillRect/>
                          </a:stretch>
                        </pic:blipFill>
                        <pic:spPr>
                          <a:xfrm>
                            <a:off x="0" y="0"/>
                            <a:ext cx="1114425" cy="659765"/>
                          </a:xfrm>
                          <a:prstGeom prst="rect">
                            <a:avLst/>
                          </a:prstGeom>
                          <a:noFill/>
                          <a:ln>
                            <a:noFill/>
                          </a:ln>
                        </pic:spPr>
                      </pic:pic>
                    </a:graphicData>
                  </a:graphic>
                </wp:anchor>
              </w:drawing>
            </w:r>
          </w:p>
        </w:tc>
      </w:tr>
      <w:tr w14:paraId="2102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D60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12</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828D8D">
            <w:pPr>
              <w:jc w:val="center"/>
              <w:rPr>
                <w:rFonts w:hint="eastAsia" w:ascii="微软雅黑" w:hAnsi="微软雅黑" w:eastAsia="微软雅黑" w:cs="微软雅黑"/>
                <w:i w:val="0"/>
                <w:iCs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77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会议室LOGO墙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69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立体字+LOGO</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8C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203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-42545</wp:posOffset>
                  </wp:positionV>
                  <wp:extent cx="1171575" cy="687070"/>
                  <wp:effectExtent l="0" t="0" r="9525" b="17780"/>
                  <wp:wrapNone/>
                  <wp:docPr id="81" name="图片_15"/>
                  <wp:cNvGraphicFramePr/>
                  <a:graphic xmlns:a="http://schemas.openxmlformats.org/drawingml/2006/main">
                    <a:graphicData uri="http://schemas.openxmlformats.org/drawingml/2006/picture">
                      <pic:pic xmlns:pic="http://schemas.openxmlformats.org/drawingml/2006/picture">
                        <pic:nvPicPr>
                          <pic:cNvPr id="81" name="图片_15"/>
                          <pic:cNvPicPr/>
                        </pic:nvPicPr>
                        <pic:blipFill>
                          <a:blip r:embed="rId14"/>
                          <a:stretch>
                            <a:fillRect/>
                          </a:stretch>
                        </pic:blipFill>
                        <pic:spPr>
                          <a:xfrm>
                            <a:off x="0" y="0"/>
                            <a:ext cx="1171575" cy="687070"/>
                          </a:xfrm>
                          <a:prstGeom prst="rect">
                            <a:avLst/>
                          </a:prstGeom>
                          <a:noFill/>
                          <a:ln>
                            <a:noFill/>
                          </a:ln>
                        </pic:spPr>
                      </pic:pic>
                    </a:graphicData>
                  </a:graphic>
                </wp:anchor>
              </w:drawing>
            </w:r>
          </w:p>
        </w:tc>
      </w:tr>
      <w:tr w14:paraId="5907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79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8B5F90">
            <w:pPr>
              <w:jc w:val="center"/>
              <w:rPr>
                <w:rFonts w:hint="eastAsia" w:ascii="微软雅黑" w:hAnsi="微软雅黑" w:eastAsia="微软雅黑" w:cs="微软雅黑"/>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6F27">
            <w:pPr>
              <w:jc w:val="center"/>
              <w:rPr>
                <w:rFonts w:hint="eastAsia" w:ascii="微软雅黑" w:hAnsi="微软雅黑" w:eastAsia="微软雅黑" w:cs="微软雅黑"/>
                <w:i w:val="0"/>
                <w:iCs w:val="0"/>
                <w:color w:val="000000"/>
                <w:sz w:val="20"/>
                <w:szCs w:val="20"/>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10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挂墙式画框（含画面）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2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47F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-10795</wp:posOffset>
                  </wp:positionV>
                  <wp:extent cx="1200150" cy="647700"/>
                  <wp:effectExtent l="0" t="0" r="0" b="0"/>
                  <wp:wrapNone/>
                  <wp:docPr id="71" name="图片_14"/>
                  <wp:cNvGraphicFramePr/>
                  <a:graphic xmlns:a="http://schemas.openxmlformats.org/drawingml/2006/main">
                    <a:graphicData uri="http://schemas.openxmlformats.org/drawingml/2006/picture">
                      <pic:pic xmlns:pic="http://schemas.openxmlformats.org/drawingml/2006/picture">
                        <pic:nvPicPr>
                          <pic:cNvPr id="71" name="图片_14"/>
                          <pic:cNvPicPr/>
                        </pic:nvPicPr>
                        <pic:blipFill>
                          <a:blip r:embed="rId15"/>
                          <a:stretch>
                            <a:fillRect/>
                          </a:stretch>
                        </pic:blipFill>
                        <pic:spPr>
                          <a:xfrm>
                            <a:off x="0" y="0"/>
                            <a:ext cx="1200150" cy="647700"/>
                          </a:xfrm>
                          <a:prstGeom prst="rect">
                            <a:avLst/>
                          </a:prstGeom>
                          <a:noFill/>
                          <a:ln>
                            <a:noFill/>
                          </a:ln>
                        </pic:spPr>
                      </pic:pic>
                    </a:graphicData>
                  </a:graphic>
                </wp:anchor>
              </w:drawing>
            </w:r>
          </w:p>
        </w:tc>
      </w:tr>
      <w:tr w14:paraId="7C09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1B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84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D8EE8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3F</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BF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306通道白墙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6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0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62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181100" cy="706755"/>
                  <wp:effectExtent l="0" t="0" r="0" b="17145"/>
                  <wp:wrapNone/>
                  <wp:docPr id="91" name="图片_16"/>
                  <wp:cNvGraphicFramePr/>
                  <a:graphic xmlns:a="http://schemas.openxmlformats.org/drawingml/2006/main">
                    <a:graphicData uri="http://schemas.openxmlformats.org/drawingml/2006/picture">
                      <pic:pic xmlns:pic="http://schemas.openxmlformats.org/drawingml/2006/picture">
                        <pic:nvPicPr>
                          <pic:cNvPr id="91" name="图片_16"/>
                          <pic:cNvPicPr/>
                        </pic:nvPicPr>
                        <pic:blipFill>
                          <a:blip r:embed="rId11"/>
                          <a:stretch>
                            <a:fillRect/>
                          </a:stretch>
                        </pic:blipFill>
                        <pic:spPr>
                          <a:xfrm>
                            <a:off x="0" y="0"/>
                            <a:ext cx="1181100" cy="706755"/>
                          </a:xfrm>
                          <a:prstGeom prst="rect">
                            <a:avLst/>
                          </a:prstGeom>
                          <a:noFill/>
                          <a:ln>
                            <a:noFill/>
                          </a:ln>
                        </pic:spPr>
                      </pic:pic>
                    </a:graphicData>
                  </a:graphic>
                </wp:anchor>
              </w:drawing>
            </w:r>
          </w:p>
        </w:tc>
      </w:tr>
      <w:tr w14:paraId="262A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76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B494CE">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nil"/>
              <w:right w:val="single" w:color="000000" w:sz="4" w:space="0"/>
            </w:tcBorders>
            <w:shd w:val="clear" w:color="auto" w:fill="auto"/>
            <w:noWrap/>
            <w:vAlign w:val="center"/>
          </w:tcPr>
          <w:p w14:paraId="2BA970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楼梯白墙</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39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安迪板烤漆雕刻立体装饰造型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3B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450*250，450*350，250*350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8A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-105410</wp:posOffset>
                  </wp:positionV>
                  <wp:extent cx="1180465" cy="903605"/>
                  <wp:effectExtent l="0" t="0" r="635" b="10795"/>
                  <wp:wrapNone/>
                  <wp:docPr id="82" name="图片_18"/>
                  <wp:cNvGraphicFramePr/>
                  <a:graphic xmlns:a="http://schemas.openxmlformats.org/drawingml/2006/main">
                    <a:graphicData uri="http://schemas.openxmlformats.org/drawingml/2006/picture">
                      <pic:pic xmlns:pic="http://schemas.openxmlformats.org/drawingml/2006/picture">
                        <pic:nvPicPr>
                          <pic:cNvPr id="82" name="图片_18"/>
                          <pic:cNvPicPr/>
                        </pic:nvPicPr>
                        <pic:blipFill>
                          <a:blip r:embed="rId16"/>
                          <a:stretch>
                            <a:fillRect/>
                          </a:stretch>
                        </pic:blipFill>
                        <pic:spPr>
                          <a:xfrm>
                            <a:off x="0" y="0"/>
                            <a:ext cx="1180465" cy="903605"/>
                          </a:xfrm>
                          <a:prstGeom prst="rect">
                            <a:avLst/>
                          </a:prstGeom>
                          <a:noFill/>
                          <a:ln>
                            <a:noFill/>
                          </a:ln>
                        </pic:spPr>
                      </pic:pic>
                    </a:graphicData>
                  </a:graphic>
                </wp:anchor>
              </w:drawing>
            </w:r>
          </w:p>
        </w:tc>
      </w:tr>
      <w:tr w14:paraId="53A6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088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9F60421">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C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313室白墙</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E67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15mm安迪板烤漆雕刻立体装饰造型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2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5B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52525" cy="657860"/>
                  <wp:effectExtent l="0" t="0" r="9525" b="8890"/>
                  <wp:wrapNone/>
                  <wp:docPr id="69" name="图片_23"/>
                  <wp:cNvGraphicFramePr/>
                  <a:graphic xmlns:a="http://schemas.openxmlformats.org/drawingml/2006/main">
                    <a:graphicData uri="http://schemas.openxmlformats.org/drawingml/2006/picture">
                      <pic:pic xmlns:pic="http://schemas.openxmlformats.org/drawingml/2006/picture">
                        <pic:nvPicPr>
                          <pic:cNvPr id="69" name="图片_23"/>
                          <pic:cNvPicPr/>
                        </pic:nvPicPr>
                        <pic:blipFill>
                          <a:blip r:embed="rId17"/>
                          <a:stretch>
                            <a:fillRect/>
                          </a:stretch>
                        </pic:blipFill>
                        <pic:spPr>
                          <a:xfrm>
                            <a:off x="0" y="0"/>
                            <a:ext cx="1152525" cy="657860"/>
                          </a:xfrm>
                          <a:prstGeom prst="rect">
                            <a:avLst/>
                          </a:prstGeom>
                          <a:noFill/>
                          <a:ln>
                            <a:noFill/>
                          </a:ln>
                        </pic:spPr>
                      </pic:pic>
                    </a:graphicData>
                  </a:graphic>
                </wp:anchor>
              </w:drawing>
            </w:r>
          </w:p>
        </w:tc>
      </w:tr>
      <w:tr w14:paraId="0559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D26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17</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D93BF7">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37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消防栓</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E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室内高清背胶喷画</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7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65*95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1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-17780</wp:posOffset>
                  </wp:positionV>
                  <wp:extent cx="1133475" cy="629920"/>
                  <wp:effectExtent l="0" t="0" r="9525" b="17780"/>
                  <wp:wrapNone/>
                  <wp:docPr id="72" name="图片_20"/>
                  <wp:cNvGraphicFramePr/>
                  <a:graphic xmlns:a="http://schemas.openxmlformats.org/drawingml/2006/main">
                    <a:graphicData uri="http://schemas.openxmlformats.org/drawingml/2006/picture">
                      <pic:pic xmlns:pic="http://schemas.openxmlformats.org/drawingml/2006/picture">
                        <pic:nvPicPr>
                          <pic:cNvPr id="72" name="图片_20"/>
                          <pic:cNvPicPr/>
                        </pic:nvPicPr>
                        <pic:blipFill>
                          <a:blip r:embed="rId18"/>
                          <a:stretch>
                            <a:fillRect/>
                          </a:stretch>
                        </pic:blipFill>
                        <pic:spPr>
                          <a:xfrm>
                            <a:off x="0" y="0"/>
                            <a:ext cx="1133475" cy="629920"/>
                          </a:xfrm>
                          <a:prstGeom prst="rect">
                            <a:avLst/>
                          </a:prstGeom>
                          <a:noFill/>
                          <a:ln>
                            <a:noFill/>
                          </a:ln>
                        </pic:spPr>
                      </pic:pic>
                    </a:graphicData>
                  </a:graphic>
                </wp:anchor>
              </w:drawing>
            </w:r>
          </w:p>
        </w:tc>
      </w:tr>
      <w:tr w14:paraId="0E2B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1C3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8A4153">
            <w:pPr>
              <w:jc w:val="center"/>
              <w:rPr>
                <w:rFonts w:hint="eastAsia" w:ascii="微软雅黑" w:hAnsi="微软雅黑" w:eastAsia="微软雅黑" w:cs="微软雅黑"/>
                <w:i w:val="0"/>
                <w:iCs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B7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会议室LOGO墙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2E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立体字+LOGO</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4D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85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71575" cy="668020"/>
                  <wp:effectExtent l="0" t="0" r="9525" b="17780"/>
                  <wp:wrapNone/>
                  <wp:docPr id="90" name="图片_22"/>
                  <wp:cNvGraphicFramePr/>
                  <a:graphic xmlns:a="http://schemas.openxmlformats.org/drawingml/2006/main">
                    <a:graphicData uri="http://schemas.openxmlformats.org/drawingml/2006/picture">
                      <pic:pic xmlns:pic="http://schemas.openxmlformats.org/drawingml/2006/picture">
                        <pic:nvPicPr>
                          <pic:cNvPr id="90" name="图片_22"/>
                          <pic:cNvPicPr/>
                        </pic:nvPicPr>
                        <pic:blipFill>
                          <a:blip r:embed="rId19"/>
                          <a:stretch>
                            <a:fillRect/>
                          </a:stretch>
                        </pic:blipFill>
                        <pic:spPr>
                          <a:xfrm>
                            <a:off x="0" y="0"/>
                            <a:ext cx="1171575" cy="668020"/>
                          </a:xfrm>
                          <a:prstGeom prst="rect">
                            <a:avLst/>
                          </a:prstGeom>
                          <a:noFill/>
                          <a:ln>
                            <a:noFill/>
                          </a:ln>
                        </pic:spPr>
                      </pic:pic>
                    </a:graphicData>
                  </a:graphic>
                </wp:anchor>
              </w:drawing>
            </w:r>
          </w:p>
        </w:tc>
      </w:tr>
      <w:tr w14:paraId="47AE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8A6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19</w:t>
            </w: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E00FD0">
            <w:pPr>
              <w:jc w:val="center"/>
              <w:rPr>
                <w:rFonts w:hint="eastAsia" w:ascii="微软雅黑" w:hAnsi="微软雅黑" w:eastAsia="微软雅黑" w:cs="微软雅黑"/>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8D41">
            <w:pPr>
              <w:jc w:val="center"/>
              <w:rPr>
                <w:rFonts w:hint="eastAsia" w:ascii="微软雅黑" w:hAnsi="微软雅黑" w:eastAsia="微软雅黑" w:cs="微软雅黑"/>
                <w:i w:val="0"/>
                <w:iCs w:val="0"/>
                <w:color w:val="000000"/>
                <w:sz w:val="20"/>
                <w:szCs w:val="20"/>
                <w:u w:val="none"/>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3A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挂墙式画框（含画面）</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B9B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800*280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6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3175</wp:posOffset>
                  </wp:positionV>
                  <wp:extent cx="1189990" cy="618490"/>
                  <wp:effectExtent l="0" t="0" r="10160" b="10160"/>
                  <wp:wrapNone/>
                  <wp:docPr id="83" name="图片_21"/>
                  <wp:cNvGraphicFramePr/>
                  <a:graphic xmlns:a="http://schemas.openxmlformats.org/drawingml/2006/main">
                    <a:graphicData uri="http://schemas.openxmlformats.org/drawingml/2006/picture">
                      <pic:pic xmlns:pic="http://schemas.openxmlformats.org/drawingml/2006/picture">
                        <pic:nvPicPr>
                          <pic:cNvPr id="83" name="图片_21"/>
                          <pic:cNvPicPr/>
                        </pic:nvPicPr>
                        <pic:blipFill>
                          <a:blip r:embed="rId20"/>
                          <a:stretch>
                            <a:fillRect/>
                          </a:stretch>
                        </pic:blipFill>
                        <pic:spPr>
                          <a:xfrm>
                            <a:off x="0" y="0"/>
                            <a:ext cx="1189990" cy="618490"/>
                          </a:xfrm>
                          <a:prstGeom prst="rect">
                            <a:avLst/>
                          </a:prstGeom>
                          <a:noFill/>
                          <a:ln>
                            <a:noFill/>
                          </a:ln>
                        </pic:spPr>
                      </pic:pic>
                    </a:graphicData>
                  </a:graphic>
                </wp:anchor>
              </w:drawing>
            </w:r>
          </w:p>
        </w:tc>
      </w:tr>
      <w:tr w14:paraId="14C6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895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20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CE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4F</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8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406通道白墙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9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F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96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1068070" cy="668655"/>
                  <wp:effectExtent l="0" t="0" r="17780" b="17145"/>
                  <wp:wrapNone/>
                  <wp:docPr id="85" name="图片_24"/>
                  <wp:cNvGraphicFramePr/>
                  <a:graphic xmlns:a="http://schemas.openxmlformats.org/drawingml/2006/main">
                    <a:graphicData uri="http://schemas.openxmlformats.org/drawingml/2006/picture">
                      <pic:pic xmlns:pic="http://schemas.openxmlformats.org/drawingml/2006/picture">
                        <pic:nvPicPr>
                          <pic:cNvPr id="85" name="图片_24"/>
                          <pic:cNvPicPr/>
                        </pic:nvPicPr>
                        <pic:blipFill>
                          <a:blip r:embed="rId11"/>
                          <a:stretch>
                            <a:fillRect/>
                          </a:stretch>
                        </pic:blipFill>
                        <pic:spPr>
                          <a:xfrm>
                            <a:off x="0" y="0"/>
                            <a:ext cx="1068070" cy="668655"/>
                          </a:xfrm>
                          <a:prstGeom prst="rect">
                            <a:avLst/>
                          </a:prstGeom>
                          <a:noFill/>
                          <a:ln>
                            <a:noFill/>
                          </a:ln>
                        </pic:spPr>
                      </pic:pic>
                    </a:graphicData>
                  </a:graphic>
                </wp:anchor>
              </w:drawing>
            </w:r>
          </w:p>
        </w:tc>
      </w:tr>
      <w:tr w14:paraId="25F6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B7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4415">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27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94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5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260*350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4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19685</wp:posOffset>
                  </wp:positionV>
                  <wp:extent cx="1115060" cy="610235"/>
                  <wp:effectExtent l="0" t="0" r="8890" b="18415"/>
                  <wp:wrapNone/>
                  <wp:docPr id="73" name="图片_25"/>
                  <wp:cNvGraphicFramePr/>
                  <a:graphic xmlns:a="http://schemas.openxmlformats.org/drawingml/2006/main">
                    <a:graphicData uri="http://schemas.openxmlformats.org/drawingml/2006/picture">
                      <pic:pic xmlns:pic="http://schemas.openxmlformats.org/drawingml/2006/picture">
                        <pic:nvPicPr>
                          <pic:cNvPr id="73" name="图片_25"/>
                          <pic:cNvPicPr/>
                        </pic:nvPicPr>
                        <pic:blipFill>
                          <a:blip r:embed="rId21"/>
                          <a:stretch>
                            <a:fillRect/>
                          </a:stretch>
                        </pic:blipFill>
                        <pic:spPr>
                          <a:xfrm>
                            <a:off x="0" y="0"/>
                            <a:ext cx="1115060" cy="610235"/>
                          </a:xfrm>
                          <a:prstGeom prst="rect">
                            <a:avLst/>
                          </a:prstGeom>
                          <a:noFill/>
                          <a:ln>
                            <a:noFill/>
                          </a:ln>
                        </pic:spPr>
                      </pic:pic>
                    </a:graphicData>
                  </a:graphic>
                </wp:anchor>
              </w:drawing>
            </w:r>
          </w:p>
        </w:tc>
      </w:tr>
      <w:tr w14:paraId="4E64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CF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959C">
            <w:pPr>
              <w:jc w:val="center"/>
              <w:rPr>
                <w:rFonts w:hint="eastAsia" w:ascii="微软雅黑" w:hAnsi="微软雅黑" w:eastAsia="微软雅黑" w:cs="微软雅黑"/>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80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消防栓</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A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室内高清背胶喷画</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FD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65*95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D9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52525" cy="683895"/>
                  <wp:effectExtent l="0" t="0" r="9525" b="1905"/>
                  <wp:wrapNone/>
                  <wp:docPr id="92" name="图片_26"/>
                  <wp:cNvGraphicFramePr/>
                  <a:graphic xmlns:a="http://schemas.openxmlformats.org/drawingml/2006/main">
                    <a:graphicData uri="http://schemas.openxmlformats.org/drawingml/2006/picture">
                      <pic:pic xmlns:pic="http://schemas.openxmlformats.org/drawingml/2006/picture">
                        <pic:nvPicPr>
                          <pic:cNvPr id="92" name="图片_26"/>
                          <pic:cNvPicPr/>
                        </pic:nvPicPr>
                        <pic:blipFill>
                          <a:blip r:embed="rId12"/>
                          <a:stretch>
                            <a:fillRect/>
                          </a:stretch>
                        </pic:blipFill>
                        <pic:spPr>
                          <a:xfrm>
                            <a:off x="0" y="0"/>
                            <a:ext cx="1152525" cy="683895"/>
                          </a:xfrm>
                          <a:prstGeom prst="rect">
                            <a:avLst/>
                          </a:prstGeom>
                          <a:noFill/>
                          <a:ln>
                            <a:noFill/>
                          </a:ln>
                        </pic:spPr>
                      </pic:pic>
                    </a:graphicData>
                  </a:graphic>
                </wp:anchor>
              </w:drawing>
            </w:r>
          </w:p>
        </w:tc>
      </w:tr>
      <w:tr w14:paraId="78F7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F5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18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C4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楼梯白墙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C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安迪板或亚克力装饰造型</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B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350*200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13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7620</wp:posOffset>
                  </wp:positionV>
                  <wp:extent cx="1113790" cy="648970"/>
                  <wp:effectExtent l="0" t="0" r="10160" b="17780"/>
                  <wp:wrapNone/>
                  <wp:docPr id="94" name="图片_28"/>
                  <wp:cNvGraphicFramePr/>
                  <a:graphic xmlns:a="http://schemas.openxmlformats.org/drawingml/2006/main">
                    <a:graphicData uri="http://schemas.openxmlformats.org/drawingml/2006/picture">
                      <pic:pic xmlns:pic="http://schemas.openxmlformats.org/drawingml/2006/picture">
                        <pic:nvPicPr>
                          <pic:cNvPr id="94" name="图片_28"/>
                          <pic:cNvPicPr/>
                        </pic:nvPicPr>
                        <pic:blipFill>
                          <a:blip r:embed="rId22"/>
                          <a:stretch>
                            <a:fillRect/>
                          </a:stretch>
                        </pic:blipFill>
                        <pic:spPr>
                          <a:xfrm>
                            <a:off x="0" y="0"/>
                            <a:ext cx="1113790" cy="648970"/>
                          </a:xfrm>
                          <a:prstGeom prst="rect">
                            <a:avLst/>
                          </a:prstGeom>
                          <a:noFill/>
                          <a:ln>
                            <a:noFill/>
                          </a:ln>
                        </pic:spPr>
                      </pic:pic>
                    </a:graphicData>
                  </a:graphic>
                </wp:anchor>
              </w:drawing>
            </w:r>
          </w:p>
        </w:tc>
      </w:tr>
    </w:tbl>
    <w:p w14:paraId="640EA6B9">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五、其他</w:t>
      </w:r>
      <w:r>
        <w:rPr>
          <w:rFonts w:hint="eastAsia" w:ascii="仿宋_GB2312" w:hAnsi="仿宋_GB2312" w:eastAsia="仿宋_GB2312" w:cs="仿宋_GB2312"/>
          <w:b/>
          <w:bCs/>
          <w:sz w:val="32"/>
          <w:szCs w:val="32"/>
        </w:rPr>
        <w:t>要求</w:t>
      </w:r>
    </w:p>
    <w:p w14:paraId="7C860026">
      <w:pPr>
        <w:pStyle w:val="4"/>
        <w:keepNext w:val="0"/>
        <w:keepLines w:val="0"/>
        <w:pageBreakBefore w:val="0"/>
        <w:widowControl w:val="0"/>
        <w:numPr>
          <w:ilvl w:val="0"/>
          <w:numId w:val="1"/>
        </w:numPr>
        <w:tabs>
          <w:tab w:val="left" w:pos="426"/>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包装、装卸、运输</w:t>
      </w:r>
      <w:r>
        <w:rPr>
          <w:rFonts w:hint="eastAsia" w:ascii="楷体_GB2312" w:hAnsi="楷体_GB2312" w:eastAsia="楷体_GB2312" w:cs="楷体_GB2312"/>
          <w:b w:val="0"/>
          <w:bCs/>
          <w:color w:val="000000"/>
          <w:sz w:val="32"/>
          <w:szCs w:val="32"/>
          <w:lang w:val="en-US" w:eastAsia="zh-CN"/>
        </w:rPr>
        <w:t>及</w:t>
      </w:r>
      <w:r>
        <w:rPr>
          <w:rFonts w:hint="eastAsia" w:ascii="楷体_GB2312" w:hAnsi="楷体_GB2312" w:eastAsia="楷体_GB2312" w:cs="楷体_GB2312"/>
          <w:b w:val="0"/>
          <w:bCs/>
          <w:color w:val="000000"/>
          <w:sz w:val="32"/>
          <w:szCs w:val="32"/>
        </w:rPr>
        <w:t>保管</w:t>
      </w:r>
    </w:p>
    <w:p w14:paraId="58C204D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包装必须与运输方式相适应，包装方式的确定及包装费用均由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负责；由于不适当的包装而造成货物在运输过程中有任何损坏、丢失由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负责。</w:t>
      </w:r>
    </w:p>
    <w:p w14:paraId="0A7D329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包装应足以承受整个过程中的运输、转运、装卸、储存等，充分考虑到运输途中的各种情况（如暴露于恶劣气候等）和中山地区的气候特点，以及露天存放的需要。</w:t>
      </w:r>
    </w:p>
    <w:p w14:paraId="14B8FE4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专用工具及备品备件应分别包装，并在包装箱外加以注明其用处。</w:t>
      </w:r>
    </w:p>
    <w:p w14:paraId="79EFDB2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包装费、运费已包含在投标总价内。</w:t>
      </w:r>
    </w:p>
    <w:p w14:paraId="4557A64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货物在现场的保管由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负责，直至项目安装、验收完毕。</w:t>
      </w:r>
    </w:p>
    <w:p w14:paraId="5A6FAAF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货物在安装调试验收合格前的保险由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负责</w:t>
      </w:r>
    </w:p>
    <w:p w14:paraId="6D849C12">
      <w:pPr>
        <w:pStyle w:val="4"/>
        <w:keepNext w:val="0"/>
        <w:keepLines w:val="0"/>
        <w:pageBreakBefore w:val="0"/>
        <w:widowControl w:val="0"/>
        <w:numPr>
          <w:ilvl w:val="0"/>
          <w:numId w:val="1"/>
        </w:numPr>
        <w:tabs>
          <w:tab w:val="left" w:pos="426"/>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验收</w:t>
      </w:r>
    </w:p>
    <w:p w14:paraId="2876728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成交供应商应给出项目详细的验收方案，包括验收项目、等。</w:t>
      </w:r>
    </w:p>
    <w:p w14:paraId="0E9F036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验收由采购人、成交供应商及相关人员依国家有关标准、合同及有关附件要求进行。</w:t>
      </w:r>
    </w:p>
    <w:p w14:paraId="47C073B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验收完毕由采购人、成交供应商在验收报告上签名。</w:t>
      </w:r>
    </w:p>
    <w:p w14:paraId="1B7F14F5">
      <w:pPr>
        <w:pStyle w:val="4"/>
        <w:keepNext w:val="0"/>
        <w:keepLines w:val="0"/>
        <w:pageBreakBefore w:val="0"/>
        <w:widowControl w:val="0"/>
        <w:numPr>
          <w:ilvl w:val="0"/>
          <w:numId w:val="1"/>
        </w:numPr>
        <w:tabs>
          <w:tab w:val="left" w:pos="426"/>
        </w:tabs>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val="en-US" w:eastAsia="zh-CN"/>
        </w:rPr>
        <w:t>质量保证及售后服务</w:t>
      </w:r>
    </w:p>
    <w:p w14:paraId="53D09EA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提供目前市场上技术较先进、成熟的原装、全新产品，并且符合国家以及该产品的出厂标准。</w:t>
      </w:r>
    </w:p>
    <w:p w14:paraId="629B96E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保证所有设备和配件均为正货；</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对所供产品按照国家规定或行业规定提供保修。所有货物的质保期为项目验收合格移交后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p w14:paraId="174495B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可通过电话或书面方式解答产品使用方面的疑问，必要时派驻技术人员专门服务。在质保期内对用户提出的质量问题及维修要求</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应立即响应，接到采购人通知后24小时到达现场。</w:t>
      </w:r>
    </w:p>
    <w:p w14:paraId="10159E8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所有货物保修服务方式均为</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上门保修，即由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派员到采购人设备使用现场维修， 由此产生的一切费用均由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承担（包括现场保修服务人员人身意外产生的费用）</w:t>
      </w:r>
      <w:r>
        <w:rPr>
          <w:rFonts w:hint="eastAsia" w:ascii="仿宋_GB2312" w:hAnsi="仿宋_GB2312" w:eastAsia="仿宋_GB2312" w:cs="仿宋_GB2312"/>
          <w:sz w:val="32"/>
          <w:szCs w:val="32"/>
          <w:lang w:eastAsia="zh-CN"/>
        </w:rPr>
        <w:t>。</w:t>
      </w:r>
    </w:p>
    <w:p w14:paraId="39706948">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付款方式</w:t>
      </w:r>
    </w:p>
    <w:p w14:paraId="7889500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由采购人按下列程序付款： </w:t>
      </w:r>
    </w:p>
    <w:p w14:paraId="13BEC31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（一）本合同签订后10个工作日内，支付总额的30%作为预付款，</w:t>
      </w:r>
      <w:r>
        <w:rPr>
          <w:rFonts w:hint="eastAsia" w:ascii="仿宋_GB2312" w:hAnsi="仿宋_GB2312" w:eastAsia="仿宋_GB2312" w:cs="仿宋_GB2312"/>
          <w:sz w:val="32"/>
          <w:szCs w:val="32"/>
        </w:rPr>
        <w:t>验收合格</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，支付合同总</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为工程款。</w:t>
      </w:r>
    </w:p>
    <w:p w14:paraId="2FC8491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凭以下有效文件与采购人结算：</w:t>
      </w:r>
    </w:p>
    <w:p w14:paraId="26B6671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w:t>
      </w:r>
    </w:p>
    <w:p w14:paraId="283D53A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开具的正式发票；</w:t>
      </w:r>
    </w:p>
    <w:p w14:paraId="1C8A0F8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验收报告（加盖采购人公章）；</w:t>
      </w:r>
    </w:p>
    <w:p w14:paraId="5639142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成交</w:t>
      </w:r>
      <w:r>
        <w:rPr>
          <w:rFonts w:hint="eastAsia" w:ascii="仿宋_GB2312" w:hAnsi="仿宋_GB2312" w:eastAsia="仿宋_GB2312" w:cs="仿宋_GB2312"/>
          <w:sz w:val="32"/>
          <w:szCs w:val="32"/>
        </w:rPr>
        <w:t>通知书。</w:t>
      </w:r>
      <w:r>
        <w:rPr>
          <w:rFonts w:hint="eastAsia" w:ascii="仿宋_GB2312" w:hAnsi="仿宋_GB2312" w:eastAsia="仿宋_GB2312" w:cs="仿宋_GB2312"/>
          <w:sz w:val="32"/>
          <w:szCs w:val="32"/>
        </w:rPr>
        <w:tab/>
      </w:r>
    </w:p>
    <w:p w14:paraId="1220EAF3">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报名</w:t>
      </w:r>
      <w:r>
        <w:rPr>
          <w:rFonts w:hint="eastAsia" w:ascii="仿宋_GB2312" w:hAnsi="仿宋_GB2312" w:eastAsia="仿宋_GB2312" w:cs="仿宋_GB2312"/>
          <w:b/>
          <w:bCs/>
          <w:sz w:val="32"/>
          <w:szCs w:val="32"/>
          <w:lang w:val="en-US" w:eastAsia="zh-CN"/>
        </w:rPr>
        <w:t>条件</w:t>
      </w:r>
    </w:p>
    <w:p w14:paraId="1FCCCBB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符合《中华人民共和国政府采购法》第二十二条的要求；</w:t>
      </w:r>
    </w:p>
    <w:p w14:paraId="6A2001B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具有独立承担民事责任能力的在中华人民共和国境内注册的法人或其他组织并独立于采购人和采购代理机构</w:t>
      </w:r>
      <w:r>
        <w:rPr>
          <w:rFonts w:hint="eastAsia" w:ascii="仿宋_GB2312" w:hAnsi="仿宋_GB2312" w:eastAsia="仿宋_GB2312" w:cs="仿宋_GB2312"/>
          <w:sz w:val="32"/>
          <w:szCs w:val="32"/>
          <w:lang w:val="en-US" w:eastAsia="zh-CN"/>
        </w:rPr>
        <w:t>;</w:t>
      </w:r>
    </w:p>
    <w:p w14:paraId="540D96E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有依法缴纳税收和社会保障资金的良好记录（提供近</w:t>
      </w:r>
      <w:r>
        <w:rPr>
          <w:rFonts w:hint="eastAsia" w:ascii="仿宋_GB2312" w:hAnsi="仿宋_GB2312" w:eastAsia="仿宋_GB2312" w:cs="仿宋_GB2312"/>
          <w:sz w:val="32"/>
          <w:szCs w:val="32"/>
          <w:lang w:eastAsia="zh-CN"/>
        </w:rPr>
        <w:t>三个月</w:t>
      </w:r>
      <w:r>
        <w:rPr>
          <w:rFonts w:hint="eastAsia" w:ascii="仿宋_GB2312" w:hAnsi="仿宋_GB2312" w:eastAsia="仿宋_GB2312" w:cs="仿宋_GB2312"/>
          <w:sz w:val="32"/>
          <w:szCs w:val="32"/>
        </w:rPr>
        <w:t>依法缴纳税收和社会保障资金的相关材料）</w:t>
      </w:r>
      <w:r>
        <w:rPr>
          <w:rFonts w:hint="eastAsia" w:ascii="仿宋_GB2312" w:hAnsi="仿宋_GB2312" w:eastAsia="仿宋_GB2312" w:cs="仿宋_GB2312"/>
          <w:sz w:val="32"/>
          <w:szCs w:val="32"/>
          <w:lang w:eastAsia="zh-CN"/>
        </w:rPr>
        <w:t>；</w:t>
      </w:r>
    </w:p>
    <w:p w14:paraId="1AC653D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（四）本项目不接受联合体投标；</w:t>
      </w:r>
    </w:p>
    <w:p w14:paraId="5C0C476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以上要求的证明材料，报名时一并</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w:t>
      </w:r>
    </w:p>
    <w:p w14:paraId="5A3234D6">
      <w:pPr>
        <w:pStyle w:val="2"/>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strike w:val="0"/>
          <w:dstrike w:val="0"/>
          <w:sz w:val="32"/>
          <w:szCs w:val="32"/>
          <w:highlight w:val="none"/>
          <w:lang w:val="en-US" w:eastAsia="zh-CN"/>
        </w:rPr>
        <w:t>、</w:t>
      </w:r>
      <w:r>
        <w:rPr>
          <w:rFonts w:hint="eastAsia" w:ascii="仿宋_GB2312" w:hAnsi="仿宋_GB2312" w:eastAsia="仿宋_GB2312" w:cs="仿宋_GB2312"/>
          <w:b/>
          <w:bCs/>
          <w:sz w:val="32"/>
          <w:szCs w:val="32"/>
          <w:lang w:val="en-US" w:eastAsia="zh-CN"/>
        </w:rPr>
        <w:t>现场勘察时间：</w:t>
      </w:r>
      <w:r>
        <w:rPr>
          <w:rFonts w:hint="eastAsia" w:ascii="仿宋_GB2312" w:hAnsi="仿宋_GB2312" w:eastAsia="仿宋_GB2312" w:cs="仿宋_GB2312"/>
          <w:kern w:val="2"/>
          <w:sz w:val="32"/>
          <w:szCs w:val="32"/>
          <w:lang w:val="en-US" w:eastAsia="zh-CN" w:bidi="ar-SA"/>
        </w:rPr>
        <w:t>2025年7月25日，上午10：00至12：00期间</w:t>
      </w:r>
      <w:r>
        <w:rPr>
          <w:rFonts w:hint="eastAsia" w:ascii="仿宋_GB2312" w:hAnsi="仿宋_GB2312" w:eastAsia="仿宋_GB2312" w:cs="仿宋_GB2312"/>
          <w:b/>
          <w:bCs/>
          <w:sz w:val="32"/>
          <w:szCs w:val="32"/>
          <w:lang w:val="en-US" w:eastAsia="zh-CN"/>
        </w:rPr>
        <w:t>。</w:t>
      </w:r>
    </w:p>
    <w:p w14:paraId="2CB730B0">
      <w:pPr>
        <w:pStyle w:val="3"/>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九、材料报送</w:t>
      </w:r>
    </w:p>
    <w:p w14:paraId="473D4E65">
      <w:pPr>
        <w:pStyle w:val="3"/>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竞标材料电子版请发送到邮箱zsjsfzzx@126.com，纸质材料请于</w:t>
      </w:r>
      <w:r>
        <w:rPr>
          <w:rFonts w:hint="eastAsia" w:ascii="仿宋_GB2312" w:hAnsi="仿宋_GB2312" w:eastAsia="仿宋_GB2312" w:cs="仿宋_GB2312"/>
          <w:b/>
          <w:bCs/>
          <w:color w:val="000000"/>
          <w:kern w:val="2"/>
          <w:sz w:val="32"/>
          <w:szCs w:val="32"/>
          <w:u w:val="single"/>
          <w:lang w:val="en-US" w:eastAsia="zh-CN" w:bidi="ar-SA"/>
        </w:rPr>
        <w:t>7月30日上午</w:t>
      </w:r>
      <w:r>
        <w:rPr>
          <w:rFonts w:hint="eastAsia" w:ascii="仿宋_GB2312" w:hAnsi="仿宋_GB2312" w:eastAsia="仿宋_GB2312" w:cs="仿宋_GB2312"/>
          <w:color w:val="000000"/>
          <w:kern w:val="2"/>
          <w:sz w:val="32"/>
          <w:szCs w:val="32"/>
          <w:lang w:val="en-US" w:eastAsia="zh-CN" w:bidi="ar-SA"/>
        </w:rPr>
        <w:t>送达市教师发展中心大楼405室，逾期不候。材料需按顺序装订，确保清晰完整，加盖公章。逾期未送达或材料不完整者，视为自动放弃竞标资格。</w:t>
      </w:r>
    </w:p>
    <w:p w14:paraId="27D92831">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联系人：巩老师，076089989878</w:t>
      </w:r>
    </w:p>
    <w:p w14:paraId="704B88E4">
      <w:pPr>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评分体系与标准</w:t>
      </w:r>
    </w:p>
    <w:p w14:paraId="77357006">
      <w:pPr>
        <w:keepNext w:val="0"/>
        <w:keepLines w:val="0"/>
        <w:pageBreakBefore w:val="0"/>
        <w:widowControl w:val="0"/>
        <w:numPr>
          <w:ilvl w:val="0"/>
          <w:numId w:val="0"/>
        </w:numPr>
        <w:tabs>
          <w:tab w:val="left" w:pos="851"/>
        </w:tabs>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（一）本评标办法采用综合评分法。</w:t>
      </w:r>
    </w:p>
    <w:p w14:paraId="4EBCD754">
      <w:pPr>
        <w:keepNext w:val="0"/>
        <w:keepLines w:val="0"/>
        <w:pageBreakBefore w:val="0"/>
        <w:widowControl w:val="0"/>
        <w:numPr>
          <w:ilvl w:val="0"/>
          <w:numId w:val="0"/>
        </w:numPr>
        <w:tabs>
          <w:tab w:val="left" w:pos="851"/>
        </w:tabs>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通过资格、符合性审查的供应商方有资格提交最后报价及进行技术、商务及价格的详细评审。</w:t>
      </w:r>
    </w:p>
    <w:p w14:paraId="37607C89">
      <w:pPr>
        <w:keepNext w:val="0"/>
        <w:keepLines w:val="0"/>
        <w:pageBreakBefore w:val="0"/>
        <w:widowControl w:val="0"/>
        <w:numPr>
          <w:ilvl w:val="0"/>
          <w:numId w:val="0"/>
        </w:numPr>
        <w:tabs>
          <w:tab w:val="left" w:pos="851"/>
        </w:tabs>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评分及其统计：按照评标程序、评分标准以及权重分配的规定，</w:t>
      </w:r>
      <w:r>
        <w:rPr>
          <w:rFonts w:hint="eastAsia" w:ascii="仿宋_GB2312" w:hAnsi="仿宋_GB2312" w:eastAsia="仿宋_GB2312" w:cs="仿宋_GB2312"/>
          <w:color w:val="000000"/>
          <w:sz w:val="32"/>
          <w:szCs w:val="32"/>
          <w:lang w:eastAsia="zh-CN"/>
        </w:rPr>
        <w:t>评标</w:t>
      </w:r>
      <w:r>
        <w:rPr>
          <w:rFonts w:hint="eastAsia" w:ascii="仿宋_GB2312" w:hAnsi="仿宋_GB2312" w:eastAsia="仿宋_GB2312" w:cs="仿宋_GB2312"/>
          <w:color w:val="000000"/>
          <w:sz w:val="32"/>
          <w:szCs w:val="32"/>
        </w:rPr>
        <w:t>小组各成员分别就各个供应商的技术状况、商务状况及其对磋商文件要求的响应情况进行评议和比较，评出其技术评分和商务评分、价格评分相加得出其综合得分。</w:t>
      </w:r>
    </w:p>
    <w:p w14:paraId="26F18EA0">
      <w:pPr>
        <w:keepNext w:val="0"/>
        <w:keepLines w:val="0"/>
        <w:pageBreakBefore w:val="0"/>
        <w:widowControl w:val="0"/>
        <w:numPr>
          <w:ilvl w:val="0"/>
          <w:numId w:val="0"/>
        </w:numPr>
        <w:tabs>
          <w:tab w:val="left" w:pos="630"/>
        </w:tabs>
        <w:kinsoku/>
        <w:wordWrap/>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lang w:eastAsia="zh-CN"/>
        </w:rPr>
        <w:t>（四）技术、</w:t>
      </w:r>
      <w:r>
        <w:rPr>
          <w:rFonts w:hint="eastAsia" w:ascii="仿宋_GB2312" w:hAnsi="仿宋_GB2312" w:eastAsia="仿宋_GB2312" w:cs="仿宋_GB2312"/>
          <w:color w:val="000000"/>
          <w:sz w:val="32"/>
          <w:szCs w:val="32"/>
        </w:rPr>
        <w:t>商务及价格权重分配：</w:t>
      </w:r>
    </w:p>
    <w:tbl>
      <w:tblPr>
        <w:tblStyle w:val="5"/>
        <w:tblW w:w="7712"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811"/>
        <w:gridCol w:w="2355"/>
        <w:gridCol w:w="2546"/>
      </w:tblGrid>
      <w:tr w14:paraId="4B035DA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7" w:hRule="atLeast"/>
          <w:jc w:val="center"/>
        </w:trPr>
        <w:tc>
          <w:tcPr>
            <w:tcW w:w="2811" w:type="dxa"/>
            <w:tcBorders>
              <w:tl2br w:val="nil"/>
              <w:tr2bl w:val="nil"/>
            </w:tcBorders>
            <w:noWrap w:val="0"/>
            <w:vAlign w:val="center"/>
          </w:tcPr>
          <w:p w14:paraId="5D0A0A08">
            <w:pPr>
              <w:numPr>
                <w:ilvl w:val="0"/>
                <w:numId w:val="0"/>
              </w:numPr>
              <w:tabs>
                <w:tab w:val="left" w:pos="630"/>
              </w:tabs>
              <w:spacing w:line="360" w:lineRule="auto"/>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评分项目</w:t>
            </w:r>
          </w:p>
        </w:tc>
        <w:tc>
          <w:tcPr>
            <w:tcW w:w="2355" w:type="dxa"/>
            <w:tcBorders>
              <w:tl2br w:val="nil"/>
              <w:tr2bl w:val="nil"/>
            </w:tcBorders>
            <w:noWrap w:val="0"/>
            <w:vAlign w:val="center"/>
          </w:tcPr>
          <w:p w14:paraId="7DBB5640">
            <w:pPr>
              <w:numPr>
                <w:ilvl w:val="0"/>
                <w:numId w:val="0"/>
              </w:numPr>
              <w:tabs>
                <w:tab w:val="left" w:pos="630"/>
              </w:tabs>
              <w:spacing w:line="360" w:lineRule="auto"/>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lang w:eastAsia="zh-CN"/>
              </w:rPr>
              <w:t>商务技术部分</w:t>
            </w:r>
          </w:p>
        </w:tc>
        <w:tc>
          <w:tcPr>
            <w:tcW w:w="2546" w:type="dxa"/>
            <w:tcBorders>
              <w:tl2br w:val="nil"/>
              <w:tr2bl w:val="nil"/>
            </w:tcBorders>
            <w:noWrap w:val="0"/>
            <w:vAlign w:val="center"/>
          </w:tcPr>
          <w:p w14:paraId="6F51135E">
            <w:pPr>
              <w:numPr>
                <w:ilvl w:val="0"/>
                <w:numId w:val="0"/>
              </w:numPr>
              <w:tabs>
                <w:tab w:val="left" w:pos="630"/>
              </w:tabs>
              <w:spacing w:line="360" w:lineRule="auto"/>
              <w:ind w:left="0" w:leftChars="0" w:firstLine="0" w:firstLineChars="0"/>
              <w:jc w:val="center"/>
              <w:rPr>
                <w:rFonts w:hint="eastAsia" w:ascii="黑体" w:hAnsi="黑体" w:eastAsia="黑体" w:cs="黑体"/>
                <w:b/>
                <w:snapToGrid w:val="0"/>
                <w:color w:val="000000"/>
                <w:kern w:val="0"/>
                <w:sz w:val="21"/>
                <w:szCs w:val="21"/>
              </w:rPr>
            </w:pPr>
            <w:r>
              <w:rPr>
                <w:rFonts w:hint="eastAsia" w:ascii="黑体" w:hAnsi="黑体" w:eastAsia="黑体" w:cs="黑体"/>
                <w:color w:val="000000"/>
                <w:sz w:val="21"/>
                <w:szCs w:val="21"/>
              </w:rPr>
              <w:t>价格部分</w:t>
            </w:r>
          </w:p>
        </w:tc>
      </w:tr>
      <w:tr w14:paraId="54B28F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2" w:hRule="atLeast"/>
          <w:jc w:val="center"/>
        </w:trPr>
        <w:tc>
          <w:tcPr>
            <w:tcW w:w="2811" w:type="dxa"/>
            <w:tcBorders>
              <w:tl2br w:val="nil"/>
              <w:tr2bl w:val="nil"/>
            </w:tcBorders>
            <w:noWrap w:val="0"/>
            <w:vAlign w:val="center"/>
          </w:tcPr>
          <w:p w14:paraId="4F97876D">
            <w:pPr>
              <w:numPr>
                <w:ilvl w:val="0"/>
                <w:numId w:val="0"/>
              </w:numPr>
              <w:tabs>
                <w:tab w:val="left" w:pos="630"/>
              </w:tabs>
              <w:spacing w:line="360" w:lineRule="auto"/>
              <w:jc w:val="center"/>
              <w:rPr>
                <w:rFonts w:ascii="宋体" w:hAnsi="宋体"/>
                <w:b/>
                <w:color w:val="000000"/>
              </w:rPr>
            </w:pPr>
            <w:r>
              <w:rPr>
                <w:rFonts w:hint="eastAsia" w:ascii="宋体" w:hAnsi="Times New Roman" w:eastAsia="宋体" w:cs="宋体"/>
                <w:color w:val="000000"/>
                <w:sz w:val="21"/>
                <w:szCs w:val="21"/>
              </w:rPr>
              <w:t>权值</w:t>
            </w:r>
          </w:p>
        </w:tc>
        <w:tc>
          <w:tcPr>
            <w:tcW w:w="2355" w:type="dxa"/>
            <w:tcBorders>
              <w:tl2br w:val="nil"/>
              <w:tr2bl w:val="nil"/>
            </w:tcBorders>
            <w:noWrap w:val="0"/>
            <w:vAlign w:val="center"/>
          </w:tcPr>
          <w:p w14:paraId="0B70B52B">
            <w:pPr>
              <w:numPr>
                <w:ilvl w:val="0"/>
                <w:numId w:val="0"/>
              </w:numPr>
              <w:tabs>
                <w:tab w:val="left" w:pos="630"/>
              </w:tabs>
              <w:spacing w:line="360" w:lineRule="auto"/>
              <w:jc w:val="center"/>
              <w:rPr>
                <w:rFonts w:hint="default" w:ascii="宋体" w:hAnsi="Times New Roman" w:eastAsia="宋体" w:cs="宋体"/>
                <w:color w:val="000000"/>
                <w:sz w:val="21"/>
                <w:szCs w:val="21"/>
                <w:lang w:val="en-US" w:eastAsia="zh-CN"/>
              </w:rPr>
            </w:pPr>
            <w:r>
              <w:rPr>
                <w:rFonts w:hint="eastAsia" w:ascii="宋体" w:hAnsi="Times New Roman" w:eastAsia="宋体" w:cs="宋体"/>
                <w:color w:val="000000"/>
                <w:sz w:val="21"/>
                <w:szCs w:val="21"/>
                <w:lang w:val="en-US" w:eastAsia="zh-CN"/>
              </w:rPr>
              <w:t>90%</w:t>
            </w:r>
          </w:p>
        </w:tc>
        <w:tc>
          <w:tcPr>
            <w:tcW w:w="2546" w:type="dxa"/>
            <w:tcBorders>
              <w:tl2br w:val="nil"/>
              <w:tr2bl w:val="nil"/>
            </w:tcBorders>
            <w:noWrap w:val="0"/>
            <w:vAlign w:val="center"/>
          </w:tcPr>
          <w:p w14:paraId="3AA1A083">
            <w:pPr>
              <w:numPr>
                <w:ilvl w:val="0"/>
                <w:numId w:val="0"/>
              </w:numPr>
              <w:tabs>
                <w:tab w:val="left" w:pos="630"/>
              </w:tabs>
              <w:spacing w:line="360" w:lineRule="auto"/>
              <w:jc w:val="center"/>
              <w:rPr>
                <w:rFonts w:hint="default" w:ascii="宋体" w:hAnsi="Times New Roman" w:eastAsia="宋体" w:cs="宋体"/>
                <w:color w:val="000000"/>
                <w:sz w:val="21"/>
                <w:szCs w:val="21"/>
                <w:lang w:val="en-US" w:eastAsia="zh-CN"/>
              </w:rPr>
            </w:pPr>
            <w:r>
              <w:rPr>
                <w:rFonts w:hint="eastAsia" w:ascii="宋体" w:hAnsi="Times New Roman" w:eastAsia="宋体" w:cs="宋体"/>
                <w:color w:val="000000"/>
                <w:sz w:val="21"/>
                <w:szCs w:val="21"/>
                <w:lang w:val="en-US" w:eastAsia="zh-CN"/>
              </w:rPr>
              <w:t>10%</w:t>
            </w:r>
          </w:p>
        </w:tc>
      </w:tr>
    </w:tbl>
    <w:p w14:paraId="45F01E0C">
      <w:pPr>
        <w:pStyle w:val="3"/>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（五）技术商务部分评分表</w:t>
      </w:r>
    </w:p>
    <w:tbl>
      <w:tblPr>
        <w:tblStyle w:val="5"/>
        <w:tblW w:w="452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5"/>
        <w:gridCol w:w="1497"/>
        <w:gridCol w:w="4994"/>
      </w:tblGrid>
      <w:tr w14:paraId="21FE9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jc w:val="center"/>
        </w:trPr>
        <w:tc>
          <w:tcPr>
            <w:tcW w:w="794" w:type="pct"/>
            <w:noWrap w:val="0"/>
            <w:vAlign w:val="center"/>
          </w:tcPr>
          <w:p w14:paraId="7105D623">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评审因素</w:t>
            </w:r>
          </w:p>
        </w:tc>
        <w:tc>
          <w:tcPr>
            <w:tcW w:w="4205" w:type="pct"/>
            <w:gridSpan w:val="2"/>
            <w:noWrap w:val="0"/>
            <w:vAlign w:val="center"/>
          </w:tcPr>
          <w:p w14:paraId="0C174296">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highlight w:val="none"/>
              </w:rPr>
              <w:t>评审标准</w:t>
            </w:r>
          </w:p>
        </w:tc>
      </w:tr>
      <w:tr w14:paraId="47455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4" w:hRule="atLeast"/>
          <w:jc w:val="center"/>
        </w:trPr>
        <w:tc>
          <w:tcPr>
            <w:tcW w:w="794" w:type="pct"/>
            <w:noWrap w:val="0"/>
            <w:vAlign w:val="center"/>
          </w:tcPr>
          <w:p w14:paraId="67DC2086">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color w:val="auto"/>
                <w:sz w:val="21"/>
                <w:szCs w:val="21"/>
              </w:rPr>
            </w:pPr>
            <w:r>
              <w:rPr>
                <w:rFonts w:ascii="Times New Roman" w:hAnsi="Times New Roman" w:cs="Times New Roman"/>
                <w:b/>
                <w:color w:val="auto"/>
                <w:sz w:val="21"/>
                <w:szCs w:val="21"/>
              </w:rPr>
              <w:t>分值构成</w:t>
            </w:r>
          </w:p>
        </w:tc>
        <w:tc>
          <w:tcPr>
            <w:tcW w:w="4205" w:type="pct"/>
            <w:gridSpan w:val="2"/>
            <w:noWrap w:val="0"/>
            <w:vAlign w:val="center"/>
          </w:tcPr>
          <w:p w14:paraId="79D083BB">
            <w:pPr>
              <w:keepNext w:val="0"/>
              <w:keepLines w:val="0"/>
              <w:pageBreakBefore w:val="0"/>
              <w:kinsoku/>
              <w:wordWrap/>
              <w:overflowPunct/>
              <w:topLinePunct w:val="0"/>
              <w:bidi w:val="0"/>
              <w:adjustRightInd w:val="0"/>
              <w:snapToGrid w:val="0"/>
              <w:spacing w:line="240" w:lineRule="auto"/>
              <w:jc w:val="both"/>
              <w:textAlignment w:val="auto"/>
              <w:rPr>
                <w:rFonts w:ascii="Times New Roman" w:hAnsi="Times New Roman" w:cs="Times New Roman"/>
                <w:b/>
                <w:color w:val="auto"/>
                <w:sz w:val="21"/>
                <w:szCs w:val="21"/>
                <w:lang w:eastAsia="zh-CN"/>
              </w:rPr>
            </w:pPr>
            <w:r>
              <w:rPr>
                <w:rFonts w:hint="eastAsia" w:ascii="Times New Roman" w:hAnsi="Times New Roman" w:cs="Times New Roman"/>
                <w:b/>
                <w:color w:val="auto"/>
                <w:sz w:val="21"/>
                <w:szCs w:val="21"/>
                <w:lang w:eastAsia="zh-CN"/>
              </w:rPr>
              <w:t>商务技术</w:t>
            </w:r>
            <w:r>
              <w:rPr>
                <w:rFonts w:ascii="Times New Roman" w:hAnsi="Times New Roman" w:cs="Times New Roman"/>
                <w:b/>
                <w:color w:val="auto"/>
                <w:sz w:val="21"/>
                <w:szCs w:val="21"/>
                <w:lang w:eastAsia="zh-CN"/>
              </w:rPr>
              <w:t>部分</w:t>
            </w:r>
            <w:r>
              <w:rPr>
                <w:rFonts w:hint="eastAsia" w:ascii="Times New Roman" w:hAnsi="Times New Roman" w:cs="Times New Roman"/>
                <w:b/>
                <w:color w:val="auto"/>
                <w:sz w:val="21"/>
                <w:szCs w:val="21"/>
                <w:lang w:eastAsia="zh-CN"/>
              </w:rPr>
              <w:t>：90</w:t>
            </w:r>
            <w:r>
              <w:rPr>
                <w:rFonts w:ascii="Times New Roman" w:hAnsi="Times New Roman" w:cs="Times New Roman"/>
                <w:b/>
                <w:color w:val="auto"/>
                <w:sz w:val="21"/>
                <w:szCs w:val="21"/>
                <w:lang w:eastAsia="zh-CN"/>
              </w:rPr>
              <w:t>分</w:t>
            </w:r>
          </w:p>
          <w:p w14:paraId="4A78BA17">
            <w:pPr>
              <w:keepNext w:val="0"/>
              <w:keepLines w:val="0"/>
              <w:pageBreakBefore w:val="0"/>
              <w:kinsoku/>
              <w:wordWrap/>
              <w:overflowPunct/>
              <w:topLinePunct w:val="0"/>
              <w:bidi w:val="0"/>
              <w:adjustRightInd w:val="0"/>
              <w:snapToGrid w:val="0"/>
              <w:spacing w:line="240" w:lineRule="auto"/>
              <w:jc w:val="both"/>
              <w:textAlignment w:val="auto"/>
              <w:rPr>
                <w:rFonts w:ascii="Times New Roman" w:hAnsi="Times New Roman" w:cs="Times New Roman"/>
                <w:b/>
                <w:color w:val="auto"/>
                <w:sz w:val="21"/>
                <w:szCs w:val="21"/>
                <w:lang w:eastAsia="zh-CN"/>
              </w:rPr>
            </w:pPr>
            <w:r>
              <w:rPr>
                <w:rFonts w:hint="eastAsia" w:ascii="Times New Roman" w:hAnsi="Times New Roman" w:cs="Times New Roman"/>
                <w:b/>
                <w:color w:val="auto"/>
                <w:sz w:val="21"/>
                <w:szCs w:val="21"/>
                <w:lang w:eastAsia="zh-CN"/>
              </w:rPr>
              <w:t>价格</w:t>
            </w:r>
            <w:r>
              <w:rPr>
                <w:rFonts w:ascii="Times New Roman" w:hAnsi="Times New Roman" w:cs="Times New Roman"/>
                <w:b/>
                <w:color w:val="auto"/>
                <w:sz w:val="21"/>
                <w:szCs w:val="21"/>
                <w:lang w:eastAsia="zh-CN"/>
              </w:rPr>
              <w:t>得分</w:t>
            </w:r>
            <w:r>
              <w:rPr>
                <w:rFonts w:hint="eastAsia" w:ascii="Times New Roman" w:hAnsi="Times New Roman" w:cs="Times New Roman"/>
                <w:b/>
                <w:color w:val="auto"/>
                <w:sz w:val="21"/>
                <w:szCs w:val="21"/>
                <w:lang w:eastAsia="zh-CN"/>
              </w:rPr>
              <w:t>：10</w:t>
            </w:r>
            <w:r>
              <w:rPr>
                <w:rFonts w:ascii="Times New Roman" w:hAnsi="Times New Roman" w:cs="Times New Roman"/>
                <w:b/>
                <w:color w:val="auto"/>
                <w:sz w:val="21"/>
                <w:szCs w:val="21"/>
                <w:lang w:eastAsia="zh-CN"/>
              </w:rPr>
              <w:t>分</w:t>
            </w:r>
          </w:p>
        </w:tc>
      </w:tr>
      <w:tr w14:paraId="2080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7" w:hRule="atLeast"/>
          <w:jc w:val="center"/>
        </w:trPr>
        <w:tc>
          <w:tcPr>
            <w:tcW w:w="794" w:type="pct"/>
            <w:vMerge w:val="restart"/>
            <w:noWrap w:val="0"/>
            <w:vAlign w:val="center"/>
          </w:tcPr>
          <w:p w14:paraId="350D70FA">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t>商务技术部分</w:t>
            </w:r>
          </w:p>
        </w:tc>
        <w:tc>
          <w:tcPr>
            <w:tcW w:w="970" w:type="pct"/>
            <w:noWrap w:val="0"/>
            <w:vAlign w:val="center"/>
          </w:tcPr>
          <w:p w14:paraId="2541C5F4">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响应程度</w:t>
            </w:r>
          </w:p>
          <w:p w14:paraId="34DB8A2E">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eastAsia="zh-CN"/>
              </w:rPr>
              <w:t>10</w:t>
            </w:r>
            <w:r>
              <w:rPr>
                <w:rFonts w:ascii="Times New Roman" w:hAnsi="Times New Roman" w:cs="Times New Roman"/>
                <w:b/>
                <w:bCs/>
                <w:color w:val="auto"/>
                <w:sz w:val="21"/>
                <w:szCs w:val="21"/>
                <w:lang w:eastAsia="zh-CN"/>
              </w:rPr>
              <w:t>分）</w:t>
            </w:r>
          </w:p>
        </w:tc>
        <w:tc>
          <w:tcPr>
            <w:tcW w:w="3234" w:type="pct"/>
            <w:noWrap w:val="0"/>
            <w:vAlign w:val="center"/>
          </w:tcPr>
          <w:p w14:paraId="4F27771C">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各供应商对项目文件技术、商务部分各条款的响应程度。</w:t>
            </w:r>
          </w:p>
          <w:p w14:paraId="497E2104">
            <w:pPr>
              <w:keepNext w:val="0"/>
              <w:keepLines w:val="0"/>
              <w:pageBreakBefore w:val="0"/>
              <w:kinsoku/>
              <w:wordWrap/>
              <w:overflowPunct/>
              <w:topLinePunct w:val="0"/>
              <w:bidi w:val="0"/>
              <w:adjustRightInd w:val="0"/>
              <w:snapToGrid w:val="0"/>
              <w:spacing w:line="360" w:lineRule="atLeast"/>
              <w:jc w:val="both"/>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优：对项目文件要求响应完全的，得</w:t>
            </w:r>
            <w:r>
              <w:rPr>
                <w:rFonts w:hint="eastAsia" w:ascii="Times New Roman" w:hAnsi="Times New Roman" w:cs="Times New Roman"/>
                <w:color w:val="auto"/>
                <w:sz w:val="21"/>
                <w:szCs w:val="21"/>
                <w:lang w:eastAsia="zh-CN"/>
              </w:rPr>
              <w:t>10</w:t>
            </w:r>
            <w:r>
              <w:rPr>
                <w:rFonts w:ascii="Times New Roman" w:hAnsi="Times New Roman" w:cs="Times New Roman"/>
                <w:color w:val="auto"/>
                <w:sz w:val="21"/>
                <w:szCs w:val="21"/>
                <w:lang w:eastAsia="zh-CN"/>
              </w:rPr>
              <w:t>分；</w:t>
            </w:r>
          </w:p>
          <w:p w14:paraId="1986151C">
            <w:pPr>
              <w:keepNext w:val="0"/>
              <w:keepLines w:val="0"/>
              <w:pageBreakBefore w:val="0"/>
              <w:kinsoku/>
              <w:wordWrap/>
              <w:overflowPunct/>
              <w:topLinePunct w:val="0"/>
              <w:bidi w:val="0"/>
              <w:adjustRightInd w:val="0"/>
              <w:snapToGrid w:val="0"/>
              <w:spacing w:line="360" w:lineRule="atLeast"/>
              <w:jc w:val="both"/>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良：对项目文件要求响应较好的，得</w:t>
            </w:r>
            <w:r>
              <w:rPr>
                <w:rFonts w:hint="eastAsia" w:ascii="Times New Roman" w:hAnsi="Times New Roman" w:cs="Times New Roman"/>
                <w:color w:val="auto"/>
                <w:sz w:val="21"/>
                <w:szCs w:val="21"/>
                <w:lang w:eastAsia="zh-CN"/>
              </w:rPr>
              <w:t>8</w:t>
            </w:r>
            <w:r>
              <w:rPr>
                <w:rFonts w:ascii="Times New Roman" w:hAnsi="Times New Roman" w:cs="Times New Roman"/>
                <w:color w:val="auto"/>
                <w:sz w:val="21"/>
                <w:szCs w:val="21"/>
                <w:lang w:eastAsia="zh-CN"/>
              </w:rPr>
              <w:t>分；</w:t>
            </w:r>
          </w:p>
          <w:p w14:paraId="52DA71AC">
            <w:pPr>
              <w:keepNext w:val="0"/>
              <w:keepLines w:val="0"/>
              <w:pageBreakBefore w:val="0"/>
              <w:kinsoku/>
              <w:wordWrap/>
              <w:overflowPunct/>
              <w:topLinePunct w:val="0"/>
              <w:bidi w:val="0"/>
              <w:adjustRightInd w:val="0"/>
              <w:snapToGrid w:val="0"/>
              <w:spacing w:line="360" w:lineRule="atLeast"/>
              <w:jc w:val="both"/>
              <w:textAlignment w:val="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中：对项目文件要求响应一般的，得</w:t>
            </w:r>
            <w:r>
              <w:rPr>
                <w:rFonts w:hint="eastAsia"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分；</w:t>
            </w:r>
          </w:p>
          <w:p w14:paraId="53C2073E">
            <w:pPr>
              <w:keepNext w:val="0"/>
              <w:keepLines w:val="0"/>
              <w:pageBreakBefore w:val="0"/>
              <w:kinsoku/>
              <w:wordWrap/>
              <w:overflowPunct/>
              <w:topLinePunct w:val="0"/>
              <w:bidi w:val="0"/>
              <w:adjustRightInd w:val="0"/>
              <w:snapToGrid w:val="0"/>
              <w:spacing w:line="360" w:lineRule="atLeast"/>
              <w:jc w:val="both"/>
              <w:textAlignment w:val="auto"/>
              <w:rPr>
                <w:color w:val="auto"/>
                <w:lang w:eastAsia="zh-CN"/>
              </w:rPr>
            </w:pPr>
            <w:r>
              <w:rPr>
                <w:rFonts w:ascii="Times New Roman" w:hAnsi="Times New Roman" w:cs="Times New Roman"/>
                <w:color w:val="auto"/>
                <w:sz w:val="21"/>
                <w:szCs w:val="21"/>
                <w:lang w:eastAsia="zh-CN"/>
              </w:rPr>
              <w:t>差：对项目文件要求响应较差的，得</w:t>
            </w:r>
            <w:r>
              <w:rPr>
                <w:rFonts w:hint="eastAsia"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分。</w:t>
            </w:r>
          </w:p>
        </w:tc>
      </w:tr>
      <w:tr w14:paraId="2E62B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29" w:hRule="atLeast"/>
          <w:jc w:val="center"/>
        </w:trPr>
        <w:tc>
          <w:tcPr>
            <w:tcW w:w="794" w:type="pct"/>
            <w:vMerge w:val="continue"/>
            <w:noWrap w:val="0"/>
            <w:vAlign w:val="center"/>
          </w:tcPr>
          <w:p w14:paraId="4D71A5B9">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lang w:eastAsia="zh-CN"/>
              </w:rPr>
            </w:pPr>
          </w:p>
        </w:tc>
        <w:tc>
          <w:tcPr>
            <w:tcW w:w="970" w:type="pct"/>
            <w:noWrap w:val="0"/>
            <w:vAlign w:val="center"/>
          </w:tcPr>
          <w:p w14:paraId="0C7A0BDC">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区域内容</w:t>
            </w:r>
            <w:r>
              <w:rPr>
                <w:rFonts w:ascii="Times New Roman" w:hAnsi="Times New Roman" w:eastAsia="宋体" w:cs="Times New Roman"/>
                <w:b/>
                <w:bCs/>
                <w:color w:val="auto"/>
                <w:sz w:val="21"/>
                <w:szCs w:val="21"/>
                <w:lang w:eastAsia="zh-CN"/>
              </w:rPr>
              <w:t>规划布局</w:t>
            </w:r>
            <w:r>
              <w:rPr>
                <w:rFonts w:hint="eastAsia" w:ascii="Times New Roman" w:hAnsi="Times New Roman" w:eastAsia="宋体" w:cs="Times New Roman"/>
                <w:b/>
                <w:bCs/>
                <w:color w:val="auto"/>
                <w:sz w:val="21"/>
                <w:szCs w:val="21"/>
                <w:lang w:val="en-US" w:eastAsia="zh-CN"/>
              </w:rPr>
              <w:t>思路</w:t>
            </w:r>
          </w:p>
          <w:p w14:paraId="7DAD717F">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lang w:eastAsia="zh-CN"/>
              </w:rPr>
              <w:t>0分）</w:t>
            </w:r>
          </w:p>
        </w:tc>
        <w:tc>
          <w:tcPr>
            <w:tcW w:w="3234" w:type="pct"/>
            <w:noWrap w:val="0"/>
            <w:vAlign w:val="center"/>
          </w:tcPr>
          <w:p w14:paraId="5C9A8C85">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总体概述：深化设计思路总体设想：</w:t>
            </w:r>
          </w:p>
          <w:p w14:paraId="0157543C">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优：策划思路清晰，设计定位准确，设计理念新颖。对布展大纲理解准确，主题突出，内容完整的，得</w:t>
            </w: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0分；</w:t>
            </w:r>
          </w:p>
          <w:p w14:paraId="17DCE984">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良：策划思路较清晰，设计定位较准确，设计理念较新颖。对布展大纲理解较准确，主题较突出，内容较完整的，得</w:t>
            </w:r>
            <w:r>
              <w:rPr>
                <w:rFonts w:hint="eastAsia" w:cs="Times New Roman"/>
                <w:color w:val="auto"/>
                <w:sz w:val="21"/>
                <w:szCs w:val="21"/>
                <w:lang w:val="en-US" w:eastAsia="zh-CN"/>
              </w:rPr>
              <w:t>15</w:t>
            </w:r>
            <w:r>
              <w:rPr>
                <w:rFonts w:hint="eastAsia" w:ascii="Times New Roman" w:hAnsi="Times New Roman" w:eastAsia="宋体" w:cs="Times New Roman"/>
                <w:color w:val="auto"/>
                <w:sz w:val="21"/>
                <w:szCs w:val="21"/>
                <w:lang w:val="en-US" w:eastAsia="zh-CN"/>
              </w:rPr>
              <w:t>分；</w:t>
            </w:r>
          </w:p>
          <w:p w14:paraId="1B157E6E">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中：策划思路基本清晰，设计定位基本准确，设计理念基本新颖。对布展大纲理解基本准确，主题基本突出，内容基本完整的，得</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val="en-US" w:eastAsia="zh-CN"/>
              </w:rPr>
              <w:t>分；差：策划思路不够清晰，设计定位，设计理念，对布展大纲理解不完整的，得</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分；</w:t>
            </w:r>
          </w:p>
          <w:p w14:paraId="2B799C53">
            <w:pPr>
              <w:keepNext w:val="0"/>
              <w:keepLines w:val="0"/>
              <w:pageBreakBefore w:val="0"/>
              <w:widowControl w:val="0"/>
              <w:numPr>
                <w:ilvl w:val="0"/>
                <w:numId w:val="0"/>
              </w:numPr>
              <w:suppressLineNumbers w:val="0"/>
              <w:shd w:val="clear"/>
              <w:tabs>
                <w:tab w:val="left" w:pos="0"/>
              </w:tabs>
              <w:kinsoku/>
              <w:wordWrap/>
              <w:overflowPunct/>
              <w:topLinePunct w:val="0"/>
              <w:autoSpaceDE w:val="0"/>
              <w:autoSpaceDN/>
              <w:bidi w:val="0"/>
              <w:adjustRightInd w:val="0"/>
              <w:snapToGrid w:val="0"/>
              <w:spacing w:before="0" w:beforeAutospacing="0" w:after="0" w:afterAutospacing="0" w:line="360" w:lineRule="atLeast"/>
              <w:ind w:leftChars="0" w:right="0" w:rightChars="0"/>
              <w:jc w:val="both"/>
              <w:textAlignment w:val="auto"/>
              <w:rPr>
                <w:color w:val="auto"/>
                <w:lang w:eastAsia="zh-CN"/>
              </w:rPr>
            </w:pPr>
            <w:r>
              <w:rPr>
                <w:rFonts w:ascii="Times New Roman" w:hAnsi="Times New Roman" w:cs="Times New Roman"/>
                <w:b/>
                <w:color w:val="auto"/>
                <w:sz w:val="21"/>
                <w:szCs w:val="21"/>
                <w:lang w:eastAsia="zh-CN"/>
              </w:rPr>
              <w:t>注：</w:t>
            </w:r>
            <w:r>
              <w:rPr>
                <w:rFonts w:hint="eastAsia" w:ascii="Times New Roman" w:hAnsi="Times New Roman" w:cs="Times New Roman"/>
                <w:b/>
                <w:color w:val="auto"/>
                <w:sz w:val="21"/>
                <w:szCs w:val="21"/>
                <w:lang w:eastAsia="zh-CN"/>
              </w:rPr>
              <w:t>不提供策划设计</w:t>
            </w:r>
            <w:r>
              <w:rPr>
                <w:rFonts w:ascii="Times New Roman" w:hAnsi="Times New Roman" w:cs="Times New Roman"/>
                <w:b/>
                <w:color w:val="auto"/>
                <w:sz w:val="21"/>
                <w:szCs w:val="21"/>
                <w:lang w:eastAsia="zh-CN"/>
              </w:rPr>
              <w:t>方案不得分。</w:t>
            </w:r>
          </w:p>
        </w:tc>
      </w:tr>
      <w:tr w14:paraId="1DA7C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8" w:hRule="atLeast"/>
          <w:jc w:val="center"/>
        </w:trPr>
        <w:tc>
          <w:tcPr>
            <w:tcW w:w="794" w:type="pct"/>
            <w:vMerge w:val="continue"/>
            <w:noWrap w:val="0"/>
            <w:vAlign w:val="center"/>
          </w:tcPr>
          <w:p w14:paraId="0193799F">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lang w:eastAsia="zh-CN"/>
              </w:rPr>
            </w:pPr>
          </w:p>
        </w:tc>
        <w:tc>
          <w:tcPr>
            <w:tcW w:w="970" w:type="pct"/>
            <w:noWrap w:val="0"/>
            <w:vAlign w:val="center"/>
          </w:tcPr>
          <w:p w14:paraId="73D00D14">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效果图设计</w:t>
            </w:r>
          </w:p>
          <w:p w14:paraId="703132ED">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w:t>
            </w:r>
            <w:r>
              <w:rPr>
                <w:rFonts w:hint="eastAsia" w:cs="Times New Roman"/>
                <w:b/>
                <w:bCs/>
                <w:color w:val="auto"/>
                <w:sz w:val="21"/>
                <w:szCs w:val="21"/>
                <w:lang w:val="en-US" w:eastAsia="zh-CN"/>
              </w:rPr>
              <w:t>3</w:t>
            </w:r>
            <w:r>
              <w:rPr>
                <w:rFonts w:hint="eastAsia" w:ascii="Times New Roman" w:hAnsi="Times New Roman" w:eastAsia="宋体" w:cs="Times New Roman"/>
                <w:b/>
                <w:bCs/>
                <w:color w:val="auto"/>
                <w:sz w:val="21"/>
                <w:szCs w:val="21"/>
                <w:lang w:eastAsia="zh-CN"/>
              </w:rPr>
              <w:t>0分）</w:t>
            </w:r>
          </w:p>
        </w:tc>
        <w:tc>
          <w:tcPr>
            <w:tcW w:w="3234" w:type="pct"/>
            <w:noWrap w:val="0"/>
            <w:vAlign w:val="center"/>
          </w:tcPr>
          <w:p w14:paraId="4F19F09F">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对各供应商针对本项目提供的效果图进行综合评审。</w:t>
            </w:r>
          </w:p>
          <w:p w14:paraId="2B4B6478">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优：效果图视觉效果好；展览风格独特且与主题紧密结合、新颖、有创意、针对性强的，得</w:t>
            </w: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0分；</w:t>
            </w:r>
          </w:p>
          <w:p w14:paraId="7213C8FE">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良：效果图视觉效果较好；展览风格与主题创意性较好，针对性较强的，得</w:t>
            </w:r>
            <w:r>
              <w:rPr>
                <w:rFonts w:hint="eastAsia" w:cs="Times New Roman"/>
                <w:color w:val="auto"/>
                <w:sz w:val="21"/>
                <w:szCs w:val="21"/>
                <w:lang w:val="en-US" w:eastAsia="zh-CN"/>
              </w:rPr>
              <w:t>20</w:t>
            </w:r>
            <w:r>
              <w:rPr>
                <w:rFonts w:hint="eastAsia" w:ascii="Times New Roman" w:hAnsi="Times New Roman" w:eastAsia="宋体" w:cs="Times New Roman"/>
                <w:color w:val="auto"/>
                <w:sz w:val="21"/>
                <w:szCs w:val="21"/>
                <w:lang w:val="en-US" w:eastAsia="zh-CN"/>
              </w:rPr>
              <w:t>分；</w:t>
            </w:r>
          </w:p>
          <w:p w14:paraId="48410580">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中：效果图视觉效果一般；展览风格与主题创意性一般，针对性较为一般的，得</w:t>
            </w:r>
            <w:r>
              <w:rPr>
                <w:rFonts w:hint="eastAsia" w:cs="Times New Roman"/>
                <w:color w:val="auto"/>
                <w:sz w:val="21"/>
                <w:szCs w:val="21"/>
                <w:lang w:val="en-US" w:eastAsia="zh-CN"/>
              </w:rPr>
              <w:t>15</w:t>
            </w:r>
            <w:r>
              <w:rPr>
                <w:rFonts w:hint="eastAsia" w:ascii="Times New Roman" w:hAnsi="Times New Roman" w:eastAsia="宋体" w:cs="Times New Roman"/>
                <w:color w:val="auto"/>
                <w:sz w:val="21"/>
                <w:szCs w:val="21"/>
                <w:lang w:val="en-US" w:eastAsia="zh-CN"/>
              </w:rPr>
              <w:t>分；</w:t>
            </w:r>
          </w:p>
          <w:p w14:paraId="55D250EB">
            <w:pPr>
              <w:keepNext w:val="0"/>
              <w:keepLines w:val="0"/>
              <w:pageBreakBefore w:val="0"/>
              <w:widowControl/>
              <w:kinsoku/>
              <w:wordWrap/>
              <w:overflowPunct/>
              <w:topLinePunct w:val="0"/>
              <w:autoSpaceDE/>
              <w:autoSpaceDN/>
              <w:bidi w:val="0"/>
              <w:adjustRightInd w:val="0"/>
              <w:snapToGrid w:val="0"/>
              <w:spacing w:line="360" w:lineRule="atLeast"/>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差：效果图视觉效果较差；展览风格与主题创意性差，针对性差，得</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lang w:val="en-US" w:eastAsia="zh-CN"/>
              </w:rPr>
              <w:t>分。</w:t>
            </w:r>
          </w:p>
          <w:p w14:paraId="2DD22AC1">
            <w:pPr>
              <w:keepNext w:val="0"/>
              <w:keepLines w:val="0"/>
              <w:pageBreakBefore w:val="0"/>
              <w:kinsoku/>
              <w:wordWrap/>
              <w:overflowPunct/>
              <w:topLinePunct w:val="0"/>
              <w:bidi w:val="0"/>
              <w:adjustRightInd w:val="0"/>
              <w:snapToGrid w:val="0"/>
              <w:spacing w:line="360" w:lineRule="atLeast"/>
              <w:jc w:val="both"/>
              <w:textAlignment w:val="auto"/>
              <w:rPr>
                <w:rFonts w:hint="eastAsia" w:ascii="Times New Roman" w:hAnsi="Times New Roman" w:cs="Times New Roman"/>
                <w:color w:val="auto"/>
                <w:sz w:val="21"/>
                <w:szCs w:val="21"/>
                <w:lang w:eastAsia="zh-CN"/>
              </w:rPr>
            </w:pPr>
            <w:r>
              <w:rPr>
                <w:rFonts w:ascii="Times New Roman" w:hAnsi="Times New Roman" w:cs="Times New Roman"/>
                <w:b/>
                <w:color w:val="auto"/>
                <w:sz w:val="21"/>
                <w:szCs w:val="21"/>
                <w:lang w:eastAsia="zh-CN"/>
              </w:rPr>
              <w:t>注：方案须提供效果图作为评审依据，</w:t>
            </w:r>
            <w:r>
              <w:rPr>
                <w:rFonts w:hint="eastAsia" w:ascii="Times New Roman" w:hAnsi="Times New Roman" w:cs="Times New Roman"/>
                <w:b/>
                <w:color w:val="auto"/>
                <w:sz w:val="21"/>
                <w:szCs w:val="21"/>
                <w:lang w:eastAsia="zh-CN"/>
              </w:rPr>
              <w:t>不提供</w:t>
            </w:r>
            <w:r>
              <w:rPr>
                <w:rFonts w:ascii="Times New Roman" w:hAnsi="Times New Roman" w:cs="Times New Roman"/>
                <w:b/>
                <w:color w:val="auto"/>
                <w:sz w:val="21"/>
                <w:szCs w:val="21"/>
                <w:lang w:eastAsia="zh-CN"/>
              </w:rPr>
              <w:t>效果图不得分。</w:t>
            </w:r>
          </w:p>
        </w:tc>
      </w:tr>
      <w:tr w14:paraId="1B59A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1" w:hRule="atLeast"/>
          <w:jc w:val="center"/>
        </w:trPr>
        <w:tc>
          <w:tcPr>
            <w:tcW w:w="794" w:type="pct"/>
            <w:vMerge w:val="continue"/>
            <w:noWrap w:val="0"/>
            <w:vAlign w:val="center"/>
          </w:tcPr>
          <w:p w14:paraId="1039F985">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lang w:eastAsia="zh-CN"/>
              </w:rPr>
            </w:pPr>
          </w:p>
        </w:tc>
        <w:tc>
          <w:tcPr>
            <w:tcW w:w="970" w:type="pct"/>
            <w:shd w:val="clear" w:color="auto" w:fill="auto"/>
            <w:noWrap w:val="0"/>
            <w:vAlign w:val="center"/>
          </w:tcPr>
          <w:p w14:paraId="58AE5E90">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同类</w:t>
            </w:r>
            <w:r>
              <w:rPr>
                <w:rFonts w:ascii="Times New Roman" w:hAnsi="Times New Roman" w:eastAsia="宋体" w:cs="Times New Roman"/>
                <w:b/>
                <w:bCs/>
                <w:color w:val="auto"/>
                <w:sz w:val="21"/>
                <w:szCs w:val="21"/>
                <w:lang w:eastAsia="zh-CN"/>
              </w:rPr>
              <w:t>业绩经验</w:t>
            </w:r>
          </w:p>
          <w:p w14:paraId="7AFFDD58">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（10分）</w:t>
            </w:r>
          </w:p>
        </w:tc>
        <w:tc>
          <w:tcPr>
            <w:tcW w:w="3234" w:type="pct"/>
            <w:shd w:val="clear" w:color="auto" w:fill="auto"/>
            <w:noWrap w:val="0"/>
            <w:vAlign w:val="center"/>
          </w:tcPr>
          <w:p w14:paraId="18BAC252">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根据供应商提供自2021年1月1日起至今（以合同签订时间为准）的同类项目业绩进行评审，每提供一个得2分，最高得10分。 </w:t>
            </w:r>
          </w:p>
          <w:p w14:paraId="24155E9F">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注：响应文件中需提供合同关键页（含签订合同双方的名称、合同项目名称、项目内容、双方签字盖章页、签订日期）的复印件并加盖供应商公章，不按要求提供不得分。</w:t>
            </w:r>
          </w:p>
        </w:tc>
      </w:tr>
      <w:tr w14:paraId="708E8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8" w:hRule="atLeast"/>
          <w:jc w:val="center"/>
        </w:trPr>
        <w:tc>
          <w:tcPr>
            <w:tcW w:w="794" w:type="pct"/>
            <w:vMerge w:val="continue"/>
            <w:noWrap w:val="0"/>
            <w:vAlign w:val="center"/>
          </w:tcPr>
          <w:p w14:paraId="0900AE14">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lang w:eastAsia="zh-CN"/>
              </w:rPr>
            </w:pPr>
          </w:p>
        </w:tc>
        <w:tc>
          <w:tcPr>
            <w:tcW w:w="970" w:type="pct"/>
            <w:noWrap w:val="0"/>
            <w:vAlign w:val="center"/>
          </w:tcPr>
          <w:p w14:paraId="10D88D24">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施工组织方案</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1</w:t>
            </w:r>
            <w:r>
              <w:rPr>
                <w:rFonts w:hint="eastAsia" w:cs="Times New Roman"/>
                <w:b/>
                <w:bCs/>
                <w:color w:val="auto"/>
                <w:sz w:val="21"/>
                <w:szCs w:val="21"/>
                <w:lang w:val="en-US" w:eastAsia="zh-CN"/>
              </w:rPr>
              <w:t>0</w:t>
            </w:r>
            <w:r>
              <w:rPr>
                <w:rFonts w:hint="eastAsia" w:ascii="Times New Roman" w:hAnsi="Times New Roman" w:eastAsia="宋体" w:cs="Times New Roman"/>
                <w:b/>
                <w:bCs/>
                <w:color w:val="auto"/>
                <w:sz w:val="21"/>
                <w:szCs w:val="21"/>
                <w:lang w:eastAsia="zh-CN"/>
              </w:rPr>
              <w:t>分）</w:t>
            </w:r>
          </w:p>
        </w:tc>
        <w:tc>
          <w:tcPr>
            <w:tcW w:w="3234" w:type="pct"/>
            <w:noWrap w:val="0"/>
            <w:vAlign w:val="center"/>
          </w:tcPr>
          <w:p w14:paraId="73775D94">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供应商的施工组织方案及实施进度计划详尽可行，人员配备齐全，分工合理，能满足项目实施要求进行对比评审：</w:t>
            </w:r>
          </w:p>
          <w:p w14:paraId="1D55AAF4">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优：施工组织方案及施工方法详尽可行，工程重点难点、施工关键技术工艺把握准确，技术措施可以充分保障工程质量、工期和施工安全生产，得1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分；</w:t>
            </w:r>
          </w:p>
          <w:p w14:paraId="70CBA24D">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良：施工组织方案及施工方法较可行，工程重点难点、施工关键技术工艺把握较准确，技术措施可以保障工程质量、工期和施工安全生产，得</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分；</w:t>
            </w:r>
          </w:p>
          <w:p w14:paraId="407015AA">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中：施工组织方案及施工方法普通，工程重点难点、施工关键技术工艺把握较准确，技术措施可以基本保障工程质量、工期和施工安全生产，得</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 xml:space="preserve">分； </w:t>
            </w:r>
          </w:p>
          <w:p w14:paraId="57394D9A">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差：施工组织方案及施工方法落后，或工程重点难点、施工关键技术工艺把握不准确，或技术措施无法保障工程质量、工期和施工安全生产，得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 xml:space="preserve">分。 </w:t>
            </w:r>
          </w:p>
          <w:p w14:paraId="3E6D6DF9">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注：不提供施工组织方案不得分。</w:t>
            </w:r>
          </w:p>
        </w:tc>
      </w:tr>
      <w:tr w14:paraId="5FF62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8" w:hRule="atLeast"/>
          <w:jc w:val="center"/>
        </w:trPr>
        <w:tc>
          <w:tcPr>
            <w:tcW w:w="794" w:type="pct"/>
            <w:vMerge w:val="continue"/>
            <w:noWrap w:val="0"/>
            <w:vAlign w:val="center"/>
          </w:tcPr>
          <w:p w14:paraId="00B300B3">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color w:val="auto"/>
                <w:sz w:val="21"/>
                <w:szCs w:val="21"/>
                <w:lang w:eastAsia="zh-CN"/>
              </w:rPr>
            </w:pPr>
          </w:p>
        </w:tc>
        <w:tc>
          <w:tcPr>
            <w:tcW w:w="970" w:type="pct"/>
            <w:noWrap w:val="0"/>
            <w:vAlign w:val="center"/>
          </w:tcPr>
          <w:p w14:paraId="1F61FBD2">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售后服务保障</w:t>
            </w:r>
          </w:p>
          <w:p w14:paraId="2F149021">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（1</w:t>
            </w:r>
            <w:r>
              <w:rPr>
                <w:rFonts w:hint="eastAsia" w:cs="Times New Roman"/>
                <w:b/>
                <w:bCs/>
                <w:color w:val="auto"/>
                <w:sz w:val="21"/>
                <w:szCs w:val="21"/>
                <w:lang w:val="en-US" w:eastAsia="zh-CN"/>
              </w:rPr>
              <w:t>0</w:t>
            </w:r>
            <w:r>
              <w:rPr>
                <w:rFonts w:hint="eastAsia" w:ascii="Times New Roman" w:hAnsi="Times New Roman" w:eastAsia="宋体" w:cs="Times New Roman"/>
                <w:b/>
                <w:bCs/>
                <w:color w:val="auto"/>
                <w:sz w:val="21"/>
                <w:szCs w:val="21"/>
                <w:lang w:eastAsia="zh-CN"/>
              </w:rPr>
              <w:t>分）</w:t>
            </w:r>
          </w:p>
        </w:tc>
        <w:tc>
          <w:tcPr>
            <w:tcW w:w="3234" w:type="pct"/>
            <w:noWrap w:val="0"/>
            <w:vAlign w:val="center"/>
          </w:tcPr>
          <w:p w14:paraId="0DA25BC2">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对各供应商的售后服务承诺、维护响应计划进行评分，包括具体的售后服务内容、应急响应时间、响应措施情况进行对比评审：</w:t>
            </w:r>
          </w:p>
          <w:p w14:paraId="06C1D9E2">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优：售后服务质量周全，应急响应时间快，响应处理能力强，得1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分；</w:t>
            </w:r>
          </w:p>
          <w:p w14:paraId="2F5F8023">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良：售后服务质量基本符合，应急响应时间较快，响应处理能力较强，得</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分；</w:t>
            </w:r>
          </w:p>
          <w:p w14:paraId="3B336B13">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中：售后服务质量一般，应急响应时间较快，响应处理能力一般，得</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分；</w:t>
            </w:r>
          </w:p>
          <w:p w14:paraId="30C3150E">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差：售后服务不能满足要求，应急响应时间慢，响应处理能力差，得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p>
          <w:p w14:paraId="22C57444">
            <w:pPr>
              <w:keepNext w:val="0"/>
              <w:keepLines w:val="0"/>
              <w:pageBreakBefore w:val="0"/>
              <w:widowControl w:val="0"/>
              <w:suppressLineNumbers w:val="0"/>
              <w:shd w:val="clear"/>
              <w:kinsoku/>
              <w:wordWrap/>
              <w:overflowPunct/>
              <w:topLinePunct w:val="0"/>
              <w:autoSpaceDE w:val="0"/>
              <w:autoSpaceDN/>
              <w:bidi w:val="0"/>
              <w:adjustRightInd w:val="0"/>
              <w:snapToGrid w:val="0"/>
              <w:spacing w:before="0" w:beforeAutospacing="0" w:after="0" w:afterAutospacing="0" w:line="360" w:lineRule="atLeas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注：不提供售后服务保障方案不得分。</w:t>
            </w:r>
          </w:p>
        </w:tc>
      </w:tr>
      <w:tr w14:paraId="662CB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2" w:hRule="atLeast"/>
          <w:jc w:val="center"/>
        </w:trPr>
        <w:tc>
          <w:tcPr>
            <w:tcW w:w="794" w:type="pct"/>
            <w:noWrap w:val="0"/>
            <w:vAlign w:val="center"/>
          </w:tcPr>
          <w:p w14:paraId="42A60DC1">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cs="Times New Roman"/>
                <w:b/>
                <w:color w:val="auto"/>
                <w:sz w:val="21"/>
                <w:szCs w:val="21"/>
                <w:lang w:eastAsia="zh-CN"/>
              </w:rPr>
            </w:pPr>
            <w:r>
              <w:rPr>
                <w:rFonts w:hint="eastAsia" w:ascii="Times New Roman" w:hAnsi="Times New Roman" w:cs="Times New Roman"/>
                <w:b/>
                <w:color w:val="auto"/>
                <w:sz w:val="21"/>
                <w:szCs w:val="21"/>
                <w:lang w:eastAsia="zh-CN"/>
              </w:rPr>
              <w:t>价格得分</w:t>
            </w:r>
          </w:p>
        </w:tc>
        <w:tc>
          <w:tcPr>
            <w:tcW w:w="970" w:type="pct"/>
            <w:noWrap w:val="0"/>
            <w:vAlign w:val="center"/>
          </w:tcPr>
          <w:p w14:paraId="6C24BCF6">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响应报价</w:t>
            </w:r>
          </w:p>
          <w:p w14:paraId="7459E805">
            <w:pPr>
              <w:keepNext w:val="0"/>
              <w:keepLines w:val="0"/>
              <w:pageBreakBefore w:val="0"/>
              <w:kinsoku/>
              <w:wordWrap/>
              <w:overflowPunct/>
              <w:topLinePunct w:val="0"/>
              <w:bidi w:val="0"/>
              <w:adjustRightInd w:val="0"/>
              <w:snapToGrid w:val="0"/>
              <w:spacing w:line="240" w:lineRule="auto"/>
              <w:jc w:val="center"/>
              <w:textAlignment w:val="auto"/>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eastAsia="zh-CN"/>
              </w:rPr>
              <w:t>1</w:t>
            </w:r>
            <w:r>
              <w:rPr>
                <w:rFonts w:ascii="Times New Roman" w:hAnsi="Times New Roman" w:cs="Times New Roman"/>
                <w:b/>
                <w:bCs/>
                <w:color w:val="auto"/>
                <w:sz w:val="21"/>
                <w:szCs w:val="21"/>
                <w:lang w:eastAsia="zh-CN"/>
              </w:rPr>
              <w:t>0分）</w:t>
            </w:r>
          </w:p>
        </w:tc>
        <w:tc>
          <w:tcPr>
            <w:tcW w:w="3234" w:type="pct"/>
            <w:noWrap w:val="0"/>
            <w:vAlign w:val="center"/>
          </w:tcPr>
          <w:p w14:paraId="15A2F9A6">
            <w:pPr>
              <w:keepNext w:val="0"/>
              <w:keepLines w:val="0"/>
              <w:pageBreakBefore w:val="0"/>
              <w:kinsoku/>
              <w:wordWrap/>
              <w:overflowPunct/>
              <w:topLinePunct w:val="0"/>
              <w:bidi w:val="0"/>
              <w:adjustRightInd w:val="0"/>
              <w:snapToGrid w:val="0"/>
              <w:spacing w:line="360" w:lineRule="atLeast"/>
              <w:jc w:val="both"/>
              <w:textAlignment w:val="auto"/>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响应</w:t>
            </w:r>
            <w:r>
              <w:rPr>
                <w:rFonts w:ascii="Times New Roman" w:hAnsi="Times New Roman" w:cs="Times New Roman"/>
                <w:color w:val="auto"/>
                <w:sz w:val="21"/>
                <w:szCs w:val="21"/>
                <w:lang w:eastAsia="zh-CN"/>
              </w:rPr>
              <w:t>报价得分＝（</w:t>
            </w:r>
            <w:r>
              <w:rPr>
                <w:rFonts w:hint="eastAsia" w:ascii="Times New Roman" w:hAnsi="Times New Roman" w:cs="Times New Roman"/>
                <w:color w:val="auto"/>
                <w:sz w:val="21"/>
                <w:szCs w:val="21"/>
                <w:lang w:eastAsia="zh-CN"/>
              </w:rPr>
              <w:t>评审</w:t>
            </w:r>
            <w:r>
              <w:rPr>
                <w:rFonts w:ascii="Times New Roman" w:hAnsi="Times New Roman" w:cs="Times New Roman"/>
                <w:color w:val="auto"/>
                <w:sz w:val="21"/>
                <w:szCs w:val="21"/>
                <w:lang w:eastAsia="zh-CN"/>
              </w:rPr>
              <w:t>基准价/</w:t>
            </w:r>
            <w:r>
              <w:rPr>
                <w:rFonts w:hint="eastAsia" w:ascii="Times New Roman" w:hAnsi="Times New Roman" w:cs="Times New Roman"/>
                <w:color w:val="auto"/>
                <w:sz w:val="21"/>
                <w:szCs w:val="21"/>
                <w:lang w:eastAsia="zh-CN"/>
              </w:rPr>
              <w:t>响应</w:t>
            </w:r>
            <w:r>
              <w:rPr>
                <w:rFonts w:ascii="Times New Roman" w:hAnsi="Times New Roman" w:cs="Times New Roman"/>
                <w:color w:val="auto"/>
                <w:sz w:val="21"/>
                <w:szCs w:val="21"/>
                <w:lang w:eastAsia="zh-CN"/>
              </w:rPr>
              <w:t>报价）×价格分值【注：满足磋商文件要求且</w:t>
            </w:r>
            <w:r>
              <w:rPr>
                <w:rFonts w:hint="eastAsia" w:ascii="Times New Roman" w:hAnsi="Times New Roman" w:cs="Times New Roman"/>
                <w:color w:val="auto"/>
                <w:sz w:val="21"/>
                <w:szCs w:val="21"/>
                <w:lang w:eastAsia="zh-CN"/>
              </w:rPr>
              <w:t>响应</w:t>
            </w:r>
            <w:r>
              <w:rPr>
                <w:rFonts w:ascii="Times New Roman" w:hAnsi="Times New Roman" w:cs="Times New Roman"/>
                <w:color w:val="auto"/>
                <w:sz w:val="21"/>
                <w:szCs w:val="21"/>
                <w:lang w:eastAsia="zh-CN"/>
              </w:rPr>
              <w:t>价格最低的</w:t>
            </w:r>
            <w:r>
              <w:rPr>
                <w:rFonts w:hint="eastAsia" w:ascii="Times New Roman" w:hAnsi="Times New Roman" w:cs="Times New Roman"/>
                <w:color w:val="auto"/>
                <w:sz w:val="21"/>
                <w:szCs w:val="21"/>
                <w:lang w:eastAsia="zh-CN"/>
              </w:rPr>
              <w:t>响应</w:t>
            </w:r>
            <w:r>
              <w:rPr>
                <w:rFonts w:ascii="Times New Roman" w:hAnsi="Times New Roman" w:cs="Times New Roman"/>
                <w:color w:val="auto"/>
                <w:sz w:val="21"/>
                <w:szCs w:val="21"/>
                <w:lang w:eastAsia="zh-CN"/>
              </w:rPr>
              <w:t>报价为</w:t>
            </w:r>
            <w:r>
              <w:rPr>
                <w:rFonts w:hint="eastAsia" w:ascii="Times New Roman" w:hAnsi="Times New Roman" w:cs="Times New Roman"/>
                <w:color w:val="auto"/>
                <w:sz w:val="21"/>
                <w:szCs w:val="21"/>
                <w:lang w:eastAsia="zh-CN"/>
              </w:rPr>
              <w:t>评审</w:t>
            </w:r>
            <w:r>
              <w:rPr>
                <w:rFonts w:ascii="Times New Roman" w:hAnsi="Times New Roman" w:cs="Times New Roman"/>
                <w:color w:val="auto"/>
                <w:sz w:val="21"/>
                <w:szCs w:val="21"/>
                <w:lang w:eastAsia="zh-CN"/>
              </w:rPr>
              <w:t>基准价。】最低报价不是</w:t>
            </w:r>
            <w:r>
              <w:rPr>
                <w:rFonts w:hint="eastAsia" w:ascii="Times New Roman" w:hAnsi="Times New Roman" w:cs="Times New Roman"/>
                <w:color w:val="auto"/>
                <w:sz w:val="21"/>
                <w:szCs w:val="21"/>
                <w:lang w:eastAsia="zh-CN"/>
              </w:rPr>
              <w:t>成交</w:t>
            </w:r>
            <w:r>
              <w:rPr>
                <w:rFonts w:ascii="Times New Roman" w:hAnsi="Times New Roman" w:cs="Times New Roman"/>
                <w:color w:val="auto"/>
                <w:sz w:val="21"/>
                <w:szCs w:val="21"/>
                <w:lang w:eastAsia="zh-CN"/>
              </w:rPr>
              <w:t>的唯一依据。因落实政府采购政策进行价格调整的，以调整后的价格计算</w:t>
            </w:r>
            <w:r>
              <w:rPr>
                <w:rFonts w:hint="eastAsia" w:ascii="Times New Roman" w:hAnsi="Times New Roman" w:cs="Times New Roman"/>
                <w:color w:val="auto"/>
                <w:sz w:val="21"/>
                <w:szCs w:val="21"/>
                <w:lang w:eastAsia="zh-CN"/>
              </w:rPr>
              <w:t>评审</w:t>
            </w:r>
            <w:r>
              <w:rPr>
                <w:rFonts w:ascii="Times New Roman" w:hAnsi="Times New Roman" w:cs="Times New Roman"/>
                <w:color w:val="auto"/>
                <w:sz w:val="21"/>
                <w:szCs w:val="21"/>
                <w:lang w:eastAsia="zh-CN"/>
              </w:rPr>
              <w:t>基准价和</w:t>
            </w:r>
            <w:r>
              <w:rPr>
                <w:rFonts w:hint="eastAsia" w:ascii="Times New Roman" w:hAnsi="Times New Roman" w:cs="Times New Roman"/>
                <w:color w:val="auto"/>
                <w:sz w:val="21"/>
                <w:szCs w:val="21"/>
                <w:lang w:eastAsia="zh-CN"/>
              </w:rPr>
              <w:t>响应</w:t>
            </w:r>
            <w:r>
              <w:rPr>
                <w:rFonts w:ascii="Times New Roman" w:hAnsi="Times New Roman" w:cs="Times New Roman"/>
                <w:color w:val="auto"/>
                <w:sz w:val="21"/>
                <w:szCs w:val="21"/>
                <w:lang w:eastAsia="zh-CN"/>
              </w:rPr>
              <w:t>报价。</w:t>
            </w:r>
          </w:p>
        </w:tc>
      </w:tr>
    </w:tbl>
    <w:p w14:paraId="49B8EC3B">
      <w:pPr>
        <w:pStyle w:val="3"/>
        <w:ind w:firstLine="640" w:firstLineChars="200"/>
        <w:rPr>
          <w:rFonts w:hint="eastAsia" w:ascii="仿宋_GB2312" w:hAnsi="仿宋_GB2312" w:eastAsia="仿宋_GB2312" w:cs="仿宋_GB2312"/>
          <w:color w:val="000000"/>
          <w:kern w:val="2"/>
          <w:sz w:val="32"/>
          <w:szCs w:val="3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D96E8"/>
    <w:multiLevelType w:val="singleLevel"/>
    <w:tmpl w:val="55ED96E8"/>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ODFlM2Q1ZDQzOTA3YTZhMTIwMWE3NWZiYjE4NDcifQ=="/>
  </w:docVars>
  <w:rsids>
    <w:rsidRoot w:val="00000000"/>
    <w:rsid w:val="00723BC9"/>
    <w:rsid w:val="01A559E2"/>
    <w:rsid w:val="05E274E8"/>
    <w:rsid w:val="076F70D4"/>
    <w:rsid w:val="08C962FC"/>
    <w:rsid w:val="0CE7345E"/>
    <w:rsid w:val="0D731909"/>
    <w:rsid w:val="10A62CE0"/>
    <w:rsid w:val="10CB5604"/>
    <w:rsid w:val="11DB1BC2"/>
    <w:rsid w:val="12263756"/>
    <w:rsid w:val="14126224"/>
    <w:rsid w:val="15610B4A"/>
    <w:rsid w:val="15FD4466"/>
    <w:rsid w:val="192110E8"/>
    <w:rsid w:val="1A2F6C60"/>
    <w:rsid w:val="1D2B5E57"/>
    <w:rsid w:val="22D63991"/>
    <w:rsid w:val="23062AF6"/>
    <w:rsid w:val="23EE7855"/>
    <w:rsid w:val="25171964"/>
    <w:rsid w:val="26BE33C6"/>
    <w:rsid w:val="2E291E44"/>
    <w:rsid w:val="30A123F2"/>
    <w:rsid w:val="30B360F4"/>
    <w:rsid w:val="316D0DA5"/>
    <w:rsid w:val="34681FA9"/>
    <w:rsid w:val="38301FBE"/>
    <w:rsid w:val="39581830"/>
    <w:rsid w:val="39DE55A9"/>
    <w:rsid w:val="3A52151C"/>
    <w:rsid w:val="3AE1169A"/>
    <w:rsid w:val="3BD86EF0"/>
    <w:rsid w:val="3D4225DB"/>
    <w:rsid w:val="3FF878C8"/>
    <w:rsid w:val="428F79ED"/>
    <w:rsid w:val="433D49DF"/>
    <w:rsid w:val="45C13C6D"/>
    <w:rsid w:val="463C2BD6"/>
    <w:rsid w:val="46A45B52"/>
    <w:rsid w:val="47371F6A"/>
    <w:rsid w:val="47C81250"/>
    <w:rsid w:val="492D70B6"/>
    <w:rsid w:val="4A4535D8"/>
    <w:rsid w:val="4B404763"/>
    <w:rsid w:val="4C3E3BBE"/>
    <w:rsid w:val="4EC078B8"/>
    <w:rsid w:val="541613E7"/>
    <w:rsid w:val="5438153A"/>
    <w:rsid w:val="57952B4E"/>
    <w:rsid w:val="59C248CE"/>
    <w:rsid w:val="5A631633"/>
    <w:rsid w:val="5D1849CB"/>
    <w:rsid w:val="5D4E4FD8"/>
    <w:rsid w:val="60E439E6"/>
    <w:rsid w:val="621413D9"/>
    <w:rsid w:val="69C67B7D"/>
    <w:rsid w:val="6DE93924"/>
    <w:rsid w:val="6F0B6D72"/>
    <w:rsid w:val="708974CF"/>
    <w:rsid w:val="70D624AE"/>
    <w:rsid w:val="71867CDD"/>
    <w:rsid w:val="72B34E05"/>
    <w:rsid w:val="73AA7D21"/>
    <w:rsid w:val="7464610C"/>
    <w:rsid w:val="75E71E1F"/>
    <w:rsid w:val="78F3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kern w:val="0"/>
      <w:sz w:val="24"/>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autoRedefine/>
    <w:qFormat/>
    <w:uiPriority w:val="0"/>
    <w:rPr>
      <w:rFonts w:ascii="宋体" w:hAnsi="Courier New"/>
      <w:kern w:val="0"/>
      <w:sz w:val="24"/>
      <w:szCs w:val="21"/>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2126</Words>
  <Characters>2410</Characters>
  <Lines>0</Lines>
  <Paragraphs>0</Paragraphs>
  <TotalTime>18</TotalTime>
  <ScaleCrop>false</ScaleCrop>
  <LinksUpToDate>false</LinksUpToDate>
  <CharactersWithSpaces>2414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2024-03-04T11:17:00Z</dcterms:created>
  <dc:creator>Administrator</dc:creator>
  <cp:lastModifiedBy>【辉】</cp:lastModifiedBy>
  <cp:lastPrinted>2025-07-17T07:21:00Z</cp:lastPrinted>
  <dcterms:modified xsi:type="dcterms:W3CDTF">2025-07-22T04:03:01Z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8C86CC0A4B374C8F9DE2CE0244D4170A_13</vt:lpwstr>
  </property>
  <property fmtid="{D5CDD505-2E9C-101B-9397-08002B2CF9AE}" pid="4" name="KSOTemplateDocerSaveRecord">
    <vt:lpwstr>eyJoZGlkIjoiMGFmMmRmYWNlM2U3OTlmZTllODQzNjA4ZmNhMjE5MWUiLCJ1c2VySWQiOiI0NTcwMzU3OTAifQ==</vt:lpwstr>
  </property>
</Properties>
</file>